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7BE50A01" w:rsidR="00C17E73" w:rsidRDefault="2B96738A" w:rsidP="5D8BEFBD">
      <w:pPr>
        <w:spacing w:line="360" w:lineRule="auto"/>
        <w:rPr>
          <w:rFonts w:ascii="Segoe UI" w:eastAsia="Segoe UI" w:hAnsi="Segoe UI" w:cs="Segoe UI"/>
        </w:rPr>
      </w:pPr>
      <w:r>
        <w:rPr>
          <w:noProof/>
        </w:rPr>
        <w:drawing>
          <wp:inline distT="0" distB="0" distL="0" distR="0" wp14:anchorId="3429384F" wp14:editId="759C4B74">
            <wp:extent cx="1800225" cy="885825"/>
            <wp:effectExtent l="0" t="0" r="0" b="0"/>
            <wp:docPr id="1502681999" name="Picture 1502681999" descr="Logo&#10;&#10;Description automatically generated with low confid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225" cy="885825"/>
                    </a:xfrm>
                    <a:prstGeom prst="rect">
                      <a:avLst/>
                    </a:prstGeom>
                  </pic:spPr>
                </pic:pic>
              </a:graphicData>
            </a:graphic>
          </wp:inline>
        </w:drawing>
      </w:r>
      <w:r>
        <w:br/>
      </w:r>
    </w:p>
    <w:p w14:paraId="389A409C" w14:textId="00708CC9" w:rsidR="00D82349" w:rsidRDefault="00D82349" w:rsidP="5D8BEFBD">
      <w:pPr>
        <w:pStyle w:val="Heading1"/>
        <w:spacing w:line="360" w:lineRule="auto"/>
        <w:rPr>
          <w:rFonts w:ascii="Segoe UI" w:eastAsia="Segoe UI" w:hAnsi="Segoe UI" w:cs="Segoe UI"/>
          <w:sz w:val="36"/>
          <w:szCs w:val="36"/>
        </w:rPr>
      </w:pPr>
      <w:r w:rsidRPr="5D8BEFBD">
        <w:rPr>
          <w:rFonts w:ascii="Segoe UI" w:eastAsia="Segoe UI" w:hAnsi="Segoe UI" w:cs="Segoe UI"/>
          <w:sz w:val="36"/>
          <w:szCs w:val="36"/>
        </w:rPr>
        <w:t xml:space="preserve">Submission to </w:t>
      </w:r>
      <w:r w:rsidR="7D302473" w:rsidRPr="5D8BEFBD">
        <w:rPr>
          <w:rFonts w:ascii="Segoe UI" w:eastAsia="Segoe UI" w:hAnsi="Segoe UI" w:cs="Segoe UI"/>
          <w:sz w:val="36"/>
          <w:szCs w:val="36"/>
        </w:rPr>
        <w:t>the Australian Energy Market Operator</w:t>
      </w:r>
      <w:r w:rsidRPr="5D8BEFBD">
        <w:rPr>
          <w:rFonts w:ascii="Segoe UI" w:eastAsia="Segoe UI" w:hAnsi="Segoe UI" w:cs="Segoe UI"/>
          <w:sz w:val="36"/>
          <w:szCs w:val="36"/>
        </w:rPr>
        <w:t xml:space="preserve"> </w:t>
      </w:r>
    </w:p>
    <w:p w14:paraId="67FAEBD9" w14:textId="718EBE22" w:rsidR="00D82349" w:rsidRDefault="28EAA50A" w:rsidP="5D8BEFBD">
      <w:pPr>
        <w:pStyle w:val="Heading2"/>
        <w:spacing w:line="360" w:lineRule="auto"/>
        <w:rPr>
          <w:rFonts w:ascii="Segoe UI" w:eastAsia="Segoe UI" w:hAnsi="Segoe UI" w:cs="Segoe UI"/>
          <w:sz w:val="24"/>
          <w:szCs w:val="24"/>
        </w:rPr>
      </w:pPr>
      <w:r w:rsidRPr="5D8BEFBD">
        <w:rPr>
          <w:rFonts w:ascii="Segoe UI" w:eastAsia="Segoe UI" w:hAnsi="Segoe UI" w:cs="Segoe UI"/>
        </w:rPr>
        <w:t>Draft FY26 Strategic Corporate Plan Consultation</w:t>
      </w:r>
    </w:p>
    <w:p w14:paraId="44265164" w14:textId="5093056F" w:rsidR="00D82349" w:rsidRDefault="28EAA50A" w:rsidP="5D8BEFBD">
      <w:pPr>
        <w:spacing w:line="360" w:lineRule="auto"/>
        <w:rPr>
          <w:rFonts w:ascii="Segoe UI" w:eastAsia="Segoe UI" w:hAnsi="Segoe UI" w:cs="Segoe UI"/>
        </w:rPr>
      </w:pPr>
      <w:r w:rsidRPr="5D8BEFBD">
        <w:rPr>
          <w:rFonts w:ascii="Segoe UI" w:eastAsia="Segoe UI" w:hAnsi="Segoe UI" w:cs="Segoe UI"/>
        </w:rPr>
        <w:t xml:space="preserve">28 May </w:t>
      </w:r>
      <w:r w:rsidR="00D82349" w:rsidRPr="5D8BEFBD">
        <w:rPr>
          <w:rFonts w:ascii="Segoe UI" w:eastAsia="Segoe UI" w:hAnsi="Segoe UI" w:cs="Segoe UI"/>
        </w:rPr>
        <w:t>2025</w:t>
      </w:r>
    </w:p>
    <w:p w14:paraId="39FD7E41" w14:textId="29675A42" w:rsidR="7CBF8133" w:rsidRDefault="7CBF8133" w:rsidP="5D8BEFBD">
      <w:pPr>
        <w:spacing w:line="360" w:lineRule="auto"/>
        <w:rPr>
          <w:rFonts w:ascii="Segoe UI" w:eastAsia="Segoe UI" w:hAnsi="Segoe UI" w:cs="Segoe UI"/>
        </w:rPr>
      </w:pPr>
    </w:p>
    <w:p w14:paraId="6FAD405F" w14:textId="379358D7" w:rsidR="00D82349" w:rsidRDefault="00D82349" w:rsidP="5D8BEFBD">
      <w:pPr>
        <w:spacing w:line="360" w:lineRule="auto"/>
        <w:rPr>
          <w:rFonts w:ascii="Segoe UI" w:eastAsia="Segoe UI" w:hAnsi="Segoe UI" w:cs="Segoe UI"/>
        </w:rPr>
      </w:pPr>
      <w:r w:rsidRPr="5D8BEFBD">
        <w:rPr>
          <w:rFonts w:ascii="Segoe UI" w:eastAsia="Segoe UI" w:hAnsi="Segoe UI" w:cs="Segoe UI"/>
        </w:rPr>
        <w:t xml:space="preserve">Contact: </w:t>
      </w:r>
    </w:p>
    <w:p w14:paraId="5FF73B5E" w14:textId="1D9F6BBC" w:rsidR="00D82349" w:rsidRDefault="00D82349" w:rsidP="5D8BEFBD">
      <w:pPr>
        <w:pStyle w:val="ListParagraph"/>
        <w:numPr>
          <w:ilvl w:val="0"/>
          <w:numId w:val="3"/>
        </w:numPr>
        <w:spacing w:line="360" w:lineRule="auto"/>
        <w:rPr>
          <w:rFonts w:ascii="Segoe UI" w:eastAsia="Segoe UI" w:hAnsi="Segoe UI" w:cs="Segoe UI"/>
        </w:rPr>
      </w:pPr>
      <w:r w:rsidRPr="5D8BEFBD">
        <w:rPr>
          <w:rFonts w:ascii="Segoe UI" w:eastAsia="Segoe UI" w:hAnsi="Segoe UI" w:cs="Segoe UI"/>
        </w:rPr>
        <w:t xml:space="preserve">Bethany Richards, Policy Manager </w:t>
      </w:r>
      <w:hyperlink r:id="rId11">
        <w:r w:rsidRPr="5D8BEFBD">
          <w:rPr>
            <w:rStyle w:val="Hyperlink"/>
            <w:rFonts w:ascii="Segoe UI" w:eastAsia="Segoe UI" w:hAnsi="Segoe UI" w:cs="Segoe UI"/>
          </w:rPr>
          <w:t>bethany.richards@igcc.org.au</w:t>
        </w:r>
      </w:hyperlink>
      <w:r w:rsidRPr="5D8BEFBD">
        <w:rPr>
          <w:rFonts w:ascii="Segoe UI" w:eastAsia="Segoe UI" w:hAnsi="Segoe UI" w:cs="Segoe UI"/>
        </w:rPr>
        <w:t xml:space="preserve"> </w:t>
      </w:r>
    </w:p>
    <w:p w14:paraId="0768B5B4" w14:textId="00CC9D1D" w:rsidR="7CBF8133" w:rsidRDefault="7CBF8133" w:rsidP="5D8BEFBD">
      <w:pPr>
        <w:spacing w:line="360" w:lineRule="auto"/>
        <w:rPr>
          <w:rFonts w:ascii="Segoe UI" w:eastAsia="Segoe UI" w:hAnsi="Segoe UI" w:cs="Segoe UI"/>
        </w:rPr>
      </w:pPr>
    </w:p>
    <w:p w14:paraId="552CA0CC" w14:textId="537F83DB" w:rsidR="7CBF8133" w:rsidRDefault="7CBF8133" w:rsidP="5D8BEFBD">
      <w:pPr>
        <w:spacing w:line="360" w:lineRule="auto"/>
        <w:rPr>
          <w:rFonts w:ascii="Segoe UI" w:eastAsia="Segoe UI" w:hAnsi="Segoe UI" w:cs="Segoe UI"/>
        </w:rPr>
      </w:pPr>
    </w:p>
    <w:p w14:paraId="531193D8" w14:textId="313235A9" w:rsidR="7CBF8133" w:rsidRDefault="7CBF8133" w:rsidP="5D8BEFBD">
      <w:pPr>
        <w:spacing w:line="360" w:lineRule="auto"/>
        <w:rPr>
          <w:rFonts w:ascii="Segoe UI" w:eastAsia="Segoe UI" w:hAnsi="Segoe UI" w:cs="Segoe UI"/>
        </w:rPr>
      </w:pPr>
    </w:p>
    <w:p w14:paraId="458EF544" w14:textId="1EFC3707" w:rsidR="7CBF8133" w:rsidRDefault="7CBF8133" w:rsidP="5D8BEFBD">
      <w:pPr>
        <w:spacing w:line="360" w:lineRule="auto"/>
        <w:rPr>
          <w:rFonts w:ascii="Segoe UI" w:eastAsia="Segoe UI" w:hAnsi="Segoe UI" w:cs="Segoe UI"/>
        </w:rPr>
      </w:pPr>
    </w:p>
    <w:p w14:paraId="2ABD23A0" w14:textId="13D159AE" w:rsidR="7CBF8133" w:rsidRDefault="7CBF8133" w:rsidP="5D8BEFBD">
      <w:pPr>
        <w:spacing w:line="360" w:lineRule="auto"/>
        <w:rPr>
          <w:rFonts w:ascii="Segoe UI" w:eastAsia="Segoe UI" w:hAnsi="Segoe UI" w:cs="Segoe UI"/>
        </w:rPr>
      </w:pPr>
    </w:p>
    <w:p w14:paraId="617ECDBD" w14:textId="0E597688" w:rsidR="7CBF8133" w:rsidRDefault="7CBF8133" w:rsidP="5D8BEFBD">
      <w:pPr>
        <w:spacing w:line="360" w:lineRule="auto"/>
        <w:rPr>
          <w:rFonts w:ascii="Segoe UI" w:eastAsia="Segoe UI" w:hAnsi="Segoe UI" w:cs="Segoe UI"/>
        </w:rPr>
      </w:pPr>
    </w:p>
    <w:p w14:paraId="7EB88F93" w14:textId="145F2B3B" w:rsidR="7CBF8133" w:rsidRDefault="7CBF8133" w:rsidP="5D8BEFBD">
      <w:pPr>
        <w:spacing w:line="360" w:lineRule="auto"/>
        <w:rPr>
          <w:rFonts w:ascii="Segoe UI" w:eastAsia="Segoe UI" w:hAnsi="Segoe UI" w:cs="Segoe UI"/>
        </w:rPr>
      </w:pPr>
    </w:p>
    <w:p w14:paraId="3BC366E4" w14:textId="7640A857" w:rsidR="7CBF8133" w:rsidRDefault="7CBF8133" w:rsidP="5D8BEFBD">
      <w:pPr>
        <w:spacing w:line="360" w:lineRule="auto"/>
        <w:rPr>
          <w:rFonts w:ascii="Segoe UI" w:eastAsia="Segoe UI" w:hAnsi="Segoe UI" w:cs="Segoe UI"/>
        </w:rPr>
      </w:pPr>
    </w:p>
    <w:p w14:paraId="1A629567" w14:textId="002134F2" w:rsidR="7CBF8133" w:rsidRDefault="7CBF8133" w:rsidP="5D8BEFBD">
      <w:pPr>
        <w:spacing w:line="360" w:lineRule="auto"/>
        <w:rPr>
          <w:rFonts w:ascii="Segoe UI" w:eastAsia="Segoe UI" w:hAnsi="Segoe UI" w:cs="Segoe UI"/>
        </w:rPr>
      </w:pPr>
    </w:p>
    <w:p w14:paraId="73DF4EA1" w14:textId="7A12A742" w:rsidR="7CBF8133" w:rsidRDefault="7CBF8133" w:rsidP="5D8BEFBD">
      <w:pPr>
        <w:spacing w:line="360" w:lineRule="auto"/>
        <w:rPr>
          <w:rFonts w:ascii="Segoe UI" w:eastAsia="Segoe UI" w:hAnsi="Segoe UI" w:cs="Segoe UI"/>
        </w:rPr>
      </w:pPr>
    </w:p>
    <w:p w14:paraId="28DDD890" w14:textId="1C5B564C" w:rsidR="7CBF8133" w:rsidRDefault="7CBF8133" w:rsidP="5D8BEFBD">
      <w:pPr>
        <w:spacing w:line="360" w:lineRule="auto"/>
        <w:rPr>
          <w:rFonts w:ascii="Segoe UI" w:eastAsia="Segoe UI" w:hAnsi="Segoe UI" w:cs="Segoe UI"/>
        </w:rPr>
      </w:pPr>
    </w:p>
    <w:p w14:paraId="6C9B5F7B" w14:textId="12618945" w:rsidR="00D82349" w:rsidRDefault="00D82349" w:rsidP="5D8BEFBD">
      <w:pPr>
        <w:pStyle w:val="Heading2"/>
        <w:spacing w:line="360" w:lineRule="auto"/>
        <w:rPr>
          <w:rFonts w:ascii="Segoe UI" w:eastAsia="Segoe UI" w:hAnsi="Segoe UI" w:cs="Segoe UI"/>
          <w:lang w:val="en-AU"/>
        </w:rPr>
      </w:pPr>
      <w:r w:rsidRPr="5D8BEFBD">
        <w:rPr>
          <w:rFonts w:ascii="Segoe UI" w:eastAsia="Segoe UI" w:hAnsi="Segoe UI" w:cs="Segoe UI"/>
          <w:lang w:val="en-AU"/>
        </w:rPr>
        <w:lastRenderedPageBreak/>
        <w:t xml:space="preserve">About </w:t>
      </w:r>
      <w:r w:rsidR="2007FE0B" w:rsidRPr="5D8BEFBD">
        <w:rPr>
          <w:rFonts w:ascii="Segoe UI" w:eastAsia="Segoe UI" w:hAnsi="Segoe UI" w:cs="Segoe UI"/>
          <w:lang w:val="en-AU"/>
        </w:rPr>
        <w:t>the Investor Group on Climate Change (IGCC)</w:t>
      </w:r>
    </w:p>
    <w:p w14:paraId="5D575C95" w14:textId="7C4A03D2" w:rsidR="00D82349" w:rsidRDefault="00D82349" w:rsidP="5D8BEFBD">
      <w:pPr>
        <w:spacing w:line="360" w:lineRule="auto"/>
        <w:rPr>
          <w:rFonts w:ascii="Segoe UI" w:eastAsia="Segoe UI" w:hAnsi="Segoe UI" w:cs="Segoe UI"/>
          <w:color w:val="000000" w:themeColor="text1"/>
          <w:sz w:val="22"/>
          <w:szCs w:val="22"/>
          <w:lang w:val="en-AU"/>
        </w:rPr>
      </w:pPr>
      <w:r w:rsidRPr="5D8BEFBD">
        <w:rPr>
          <w:rFonts w:ascii="Segoe UI" w:eastAsia="Segoe UI" w:hAnsi="Segoe UI" w:cs="Segoe UI"/>
          <w:color w:val="000000" w:themeColor="text1"/>
          <w:sz w:val="22"/>
          <w:szCs w:val="22"/>
          <w:lang w:val="en-AU"/>
        </w:rPr>
        <w:t>IGCC is a collaboration of Australian and New Zealand institutional investors focused on the impact of climate change on investments. IGCC represents investors with total funds under management of over $3 trillion in Australia and New Zealand and $30 trillion around the world. IGCC’s members are the custodians of the retirement savings of around 15 million Australians.</w:t>
      </w:r>
    </w:p>
    <w:p w14:paraId="7F265BE7" w14:textId="1115A50D" w:rsidR="384DBDDF" w:rsidRDefault="384DBDDF" w:rsidP="5D8BEFBD">
      <w:pPr>
        <w:spacing w:line="360" w:lineRule="auto"/>
        <w:rPr>
          <w:rFonts w:ascii="Segoe UI" w:eastAsia="Segoe UI" w:hAnsi="Segoe UI" w:cs="Segoe UI"/>
          <w:color w:val="000000" w:themeColor="text1"/>
          <w:sz w:val="22"/>
          <w:szCs w:val="22"/>
          <w:lang w:val="en-AU"/>
        </w:rPr>
      </w:pPr>
      <w:r w:rsidRPr="5D8BEFBD">
        <w:rPr>
          <w:rFonts w:ascii="Segoe UI" w:eastAsia="Segoe UI" w:hAnsi="Segoe UI" w:cs="Segoe UI"/>
          <w:color w:val="000000" w:themeColor="text1"/>
          <w:sz w:val="22"/>
          <w:szCs w:val="22"/>
          <w:lang w:val="en-AU"/>
        </w:rPr>
        <w:t>IGCC members are invested across the entire Australian economy and are interested in the rapid decarbonisation of the electricity and energy sector, to unlock decarbonisation of every other sector. The transition to a net-zero electricity sector will require significant planning and close collaboration between public and private finance.</w:t>
      </w:r>
    </w:p>
    <w:p w14:paraId="05ECF605" w14:textId="0D1CD8DC" w:rsidR="5D8BEFBD" w:rsidRDefault="5D8BEFBD" w:rsidP="5D8BEFBD">
      <w:pPr>
        <w:spacing w:line="360" w:lineRule="auto"/>
        <w:rPr>
          <w:rFonts w:ascii="Segoe UI" w:eastAsia="Segoe UI" w:hAnsi="Segoe UI" w:cs="Segoe UI"/>
          <w:color w:val="000000" w:themeColor="text1"/>
          <w:sz w:val="22"/>
          <w:szCs w:val="22"/>
          <w:lang w:val="en-AU"/>
        </w:rPr>
      </w:pPr>
    </w:p>
    <w:p w14:paraId="40E924DF" w14:textId="77777777" w:rsidR="000E28BB" w:rsidRDefault="000E28BB" w:rsidP="5D8BEFBD">
      <w:pPr>
        <w:pStyle w:val="Heading1"/>
        <w:spacing w:line="360" w:lineRule="auto"/>
        <w:rPr>
          <w:rFonts w:ascii="Segoe UI" w:eastAsia="Segoe UI" w:hAnsi="Segoe UI" w:cs="Segoe UI"/>
        </w:rPr>
      </w:pPr>
    </w:p>
    <w:p w14:paraId="4959D006" w14:textId="77777777" w:rsidR="000E28BB" w:rsidRDefault="000E28BB" w:rsidP="5D8BEFBD">
      <w:pPr>
        <w:pStyle w:val="Heading1"/>
        <w:spacing w:line="360" w:lineRule="auto"/>
        <w:rPr>
          <w:rFonts w:ascii="Segoe UI" w:eastAsia="Segoe UI" w:hAnsi="Segoe UI" w:cs="Segoe UI"/>
        </w:rPr>
      </w:pPr>
    </w:p>
    <w:p w14:paraId="12C57D48" w14:textId="77777777" w:rsidR="000E28BB" w:rsidRDefault="000E28BB" w:rsidP="5D8BEFBD">
      <w:pPr>
        <w:pStyle w:val="Heading1"/>
        <w:spacing w:line="360" w:lineRule="auto"/>
        <w:rPr>
          <w:rFonts w:ascii="Segoe UI" w:eastAsia="Segoe UI" w:hAnsi="Segoe UI" w:cs="Segoe UI"/>
        </w:rPr>
      </w:pPr>
    </w:p>
    <w:p w14:paraId="3C0F6C79" w14:textId="77777777" w:rsidR="000E28BB" w:rsidRDefault="000E28BB" w:rsidP="5D8BEFBD">
      <w:pPr>
        <w:pStyle w:val="Heading1"/>
        <w:spacing w:line="360" w:lineRule="auto"/>
        <w:rPr>
          <w:rFonts w:ascii="Segoe UI" w:eastAsia="Segoe UI" w:hAnsi="Segoe UI" w:cs="Segoe UI"/>
        </w:rPr>
      </w:pPr>
    </w:p>
    <w:p w14:paraId="2837E0C8" w14:textId="77777777" w:rsidR="000E28BB" w:rsidRDefault="000E28BB" w:rsidP="000E28BB"/>
    <w:p w14:paraId="457E4D52" w14:textId="77777777" w:rsidR="000E28BB" w:rsidRDefault="000E28BB" w:rsidP="000E28BB"/>
    <w:p w14:paraId="7330F5FE" w14:textId="77777777" w:rsidR="000E28BB" w:rsidRPr="000E28BB" w:rsidRDefault="000E28BB" w:rsidP="000E28BB"/>
    <w:p w14:paraId="529A27B6" w14:textId="4C90DAC0" w:rsidR="15D4E036" w:rsidRDefault="15D4E036" w:rsidP="5D8BEFBD">
      <w:pPr>
        <w:pStyle w:val="Heading1"/>
        <w:spacing w:line="360" w:lineRule="auto"/>
        <w:rPr>
          <w:rFonts w:ascii="Segoe UI" w:eastAsia="Segoe UI" w:hAnsi="Segoe UI" w:cs="Segoe UI"/>
          <w:sz w:val="24"/>
          <w:szCs w:val="24"/>
        </w:rPr>
      </w:pPr>
      <w:r w:rsidRPr="5D8BEFBD">
        <w:rPr>
          <w:rFonts w:ascii="Segoe UI" w:eastAsia="Segoe UI" w:hAnsi="Segoe UI" w:cs="Segoe UI"/>
        </w:rPr>
        <w:lastRenderedPageBreak/>
        <w:t>Response</w:t>
      </w:r>
    </w:p>
    <w:p w14:paraId="13195BF9" w14:textId="15610874" w:rsidR="5D636F0E" w:rsidRDefault="5D636F0E" w:rsidP="5D8BEFBD">
      <w:pPr>
        <w:pStyle w:val="Heading2"/>
        <w:spacing w:line="360" w:lineRule="auto"/>
        <w:rPr>
          <w:rFonts w:ascii="Segoe UI" w:eastAsia="Segoe UI" w:hAnsi="Segoe UI" w:cs="Segoe UI"/>
        </w:rPr>
      </w:pPr>
      <w:r w:rsidRPr="5D8BEFBD">
        <w:rPr>
          <w:rFonts w:ascii="Segoe UI" w:eastAsia="Segoe UI" w:hAnsi="Segoe UI" w:cs="Segoe UI"/>
        </w:rPr>
        <w:t>Introduction</w:t>
      </w:r>
    </w:p>
    <w:p w14:paraId="4F4119CF" w14:textId="008699D3" w:rsidR="3D3DA81C" w:rsidRDefault="3D3DA81C" w:rsidP="5D8BEFBD">
      <w:pPr>
        <w:spacing w:line="360" w:lineRule="auto"/>
        <w:rPr>
          <w:rFonts w:ascii="Segoe UI" w:eastAsia="Segoe UI" w:hAnsi="Segoe UI" w:cs="Segoe UI"/>
          <w:sz w:val="22"/>
          <w:szCs w:val="22"/>
        </w:rPr>
      </w:pPr>
      <w:r w:rsidRPr="5D8BEFBD">
        <w:rPr>
          <w:rFonts w:ascii="Segoe UI" w:eastAsia="Segoe UI" w:hAnsi="Segoe UI" w:cs="Segoe UI"/>
          <w:sz w:val="22"/>
          <w:szCs w:val="22"/>
        </w:rPr>
        <w:t>IGCC welcome</w:t>
      </w:r>
      <w:r w:rsidR="000E28BB">
        <w:rPr>
          <w:rFonts w:ascii="Segoe UI" w:eastAsia="Segoe UI" w:hAnsi="Segoe UI" w:cs="Segoe UI"/>
          <w:sz w:val="22"/>
          <w:szCs w:val="22"/>
        </w:rPr>
        <w:t>s</w:t>
      </w:r>
      <w:r w:rsidRPr="5D8BEFBD">
        <w:rPr>
          <w:rFonts w:ascii="Segoe UI" w:eastAsia="Segoe UI" w:hAnsi="Segoe UI" w:cs="Segoe UI"/>
          <w:sz w:val="22"/>
          <w:szCs w:val="22"/>
        </w:rPr>
        <w:t xml:space="preserve"> the opportunity to provide input for AEMO’s Draft FY26 Strategic Corporate Plan </w:t>
      </w:r>
      <w:r w:rsidR="3D06260D" w:rsidRPr="5D8BEFBD">
        <w:rPr>
          <w:rFonts w:ascii="Segoe UI" w:eastAsia="Segoe UI" w:hAnsi="Segoe UI" w:cs="Segoe UI"/>
          <w:sz w:val="22"/>
          <w:szCs w:val="22"/>
        </w:rPr>
        <w:t>(henceforth, the Plan)</w:t>
      </w:r>
      <w:r w:rsidRPr="5D8BEFBD">
        <w:rPr>
          <w:rFonts w:ascii="Segoe UI" w:eastAsia="Segoe UI" w:hAnsi="Segoe UI" w:cs="Segoe UI"/>
          <w:sz w:val="22"/>
          <w:szCs w:val="22"/>
        </w:rPr>
        <w:t xml:space="preserve">. </w:t>
      </w:r>
      <w:r w:rsidR="000E28BB">
        <w:rPr>
          <w:rFonts w:ascii="Segoe UI" w:eastAsia="Segoe UI" w:hAnsi="Segoe UI" w:cs="Segoe UI"/>
          <w:sz w:val="22"/>
          <w:szCs w:val="22"/>
        </w:rPr>
        <w:t>IGCC</w:t>
      </w:r>
      <w:r w:rsidR="144FAE45" w:rsidRPr="5D8BEFBD">
        <w:rPr>
          <w:rFonts w:ascii="Segoe UI" w:eastAsia="Segoe UI" w:hAnsi="Segoe UI" w:cs="Segoe UI"/>
          <w:sz w:val="22"/>
          <w:szCs w:val="22"/>
        </w:rPr>
        <w:t xml:space="preserve"> commend</w:t>
      </w:r>
      <w:r w:rsidR="000E28BB">
        <w:rPr>
          <w:rFonts w:ascii="Segoe UI" w:eastAsia="Segoe UI" w:hAnsi="Segoe UI" w:cs="Segoe UI"/>
          <w:sz w:val="22"/>
          <w:szCs w:val="22"/>
        </w:rPr>
        <w:t>s</w:t>
      </w:r>
      <w:r w:rsidR="144FAE45" w:rsidRPr="5D8BEFBD">
        <w:rPr>
          <w:rFonts w:ascii="Segoe UI" w:eastAsia="Segoe UI" w:hAnsi="Segoe UI" w:cs="Segoe UI"/>
          <w:sz w:val="22"/>
          <w:szCs w:val="22"/>
        </w:rPr>
        <w:t xml:space="preserve"> AEMO for its ongoing work in delivering the net-zero transition</w:t>
      </w:r>
      <w:r w:rsidR="1D4AF0A0" w:rsidRPr="5D8BEFBD">
        <w:rPr>
          <w:rFonts w:ascii="Segoe UI" w:eastAsia="Segoe UI" w:hAnsi="Segoe UI" w:cs="Segoe UI"/>
          <w:sz w:val="22"/>
          <w:szCs w:val="22"/>
        </w:rPr>
        <w:t xml:space="preserve">. </w:t>
      </w:r>
      <w:r w:rsidR="4A8FFE58" w:rsidRPr="5D8BEFBD">
        <w:rPr>
          <w:rFonts w:ascii="Segoe UI" w:eastAsia="Segoe UI" w:hAnsi="Segoe UI" w:cs="Segoe UI"/>
          <w:sz w:val="22"/>
          <w:szCs w:val="22"/>
        </w:rPr>
        <w:t>AEMO’s role appears to be growing beyond being market operator to become a de-facto advisor on the energy transition. With increased responsibilities comes the need for alignment with good governance principles.</w:t>
      </w:r>
    </w:p>
    <w:p w14:paraId="10588A9B" w14:textId="5083ECD0" w:rsidR="454B1AEC" w:rsidRDefault="454B1AEC" w:rsidP="5D8BEFBD">
      <w:pPr>
        <w:spacing w:line="360" w:lineRule="auto"/>
        <w:rPr>
          <w:rFonts w:ascii="Segoe UI" w:eastAsia="Segoe UI" w:hAnsi="Segoe UI" w:cs="Segoe UI"/>
          <w:sz w:val="20"/>
          <w:szCs w:val="20"/>
        </w:rPr>
      </w:pPr>
      <w:r w:rsidRPr="5D8BEFBD">
        <w:rPr>
          <w:rFonts w:ascii="Segoe UI" w:eastAsia="Segoe UI" w:hAnsi="Segoe UI" w:cs="Segoe UI"/>
          <w:sz w:val="22"/>
          <w:szCs w:val="22"/>
        </w:rPr>
        <w:t xml:space="preserve">This submission focuses on what </w:t>
      </w:r>
      <w:r w:rsidR="5D7BE0CC" w:rsidRPr="5D8BEFBD">
        <w:rPr>
          <w:rFonts w:ascii="Segoe UI" w:eastAsia="Segoe UI" w:hAnsi="Segoe UI" w:cs="Segoe UI"/>
          <w:sz w:val="22"/>
          <w:szCs w:val="22"/>
        </w:rPr>
        <w:t xml:space="preserve">good governance principles </w:t>
      </w:r>
      <w:r w:rsidRPr="5D8BEFBD">
        <w:rPr>
          <w:rFonts w:ascii="Segoe UI" w:eastAsia="Segoe UI" w:hAnsi="Segoe UI" w:cs="Segoe UI"/>
          <w:sz w:val="22"/>
          <w:szCs w:val="22"/>
        </w:rPr>
        <w:t>businesses and investors need from entities responsibl</w:t>
      </w:r>
      <w:r w:rsidR="172B64CC" w:rsidRPr="5D8BEFBD">
        <w:rPr>
          <w:rFonts w:ascii="Segoe UI" w:eastAsia="Segoe UI" w:hAnsi="Segoe UI" w:cs="Segoe UI"/>
          <w:sz w:val="22"/>
          <w:szCs w:val="22"/>
        </w:rPr>
        <w:t>e for delivering decarbonisation objectives.</w:t>
      </w:r>
      <w:r w:rsidR="5B360918" w:rsidRPr="5D8BEFBD">
        <w:rPr>
          <w:rFonts w:ascii="Segoe UI" w:eastAsia="Segoe UI" w:hAnsi="Segoe UI" w:cs="Segoe UI"/>
          <w:sz w:val="22"/>
          <w:szCs w:val="22"/>
        </w:rPr>
        <w:t xml:space="preserve"> It will not cover specific initiatives raised by AEMO in the consultation. </w:t>
      </w:r>
    </w:p>
    <w:p w14:paraId="6C1C5B5E" w14:textId="1A1F0525" w:rsidR="5D8BEFBD" w:rsidRDefault="5D8BEFBD" w:rsidP="5D8BEFBD">
      <w:pPr>
        <w:spacing w:line="360" w:lineRule="auto"/>
        <w:rPr>
          <w:rFonts w:ascii="Segoe UI" w:eastAsia="Segoe UI" w:hAnsi="Segoe UI" w:cs="Segoe UI"/>
        </w:rPr>
      </w:pPr>
    </w:p>
    <w:p w14:paraId="4C6D1324" w14:textId="0A7ED3E7" w:rsidR="612826D1" w:rsidRDefault="612826D1" w:rsidP="5D8BEFBD">
      <w:pPr>
        <w:pStyle w:val="Heading2"/>
        <w:spacing w:line="360" w:lineRule="auto"/>
        <w:rPr>
          <w:rFonts w:ascii="Segoe UI" w:eastAsia="Segoe UI" w:hAnsi="Segoe UI" w:cs="Segoe UI"/>
        </w:rPr>
      </w:pPr>
      <w:r w:rsidRPr="5D8BEFBD">
        <w:rPr>
          <w:rFonts w:ascii="Segoe UI" w:eastAsia="Segoe UI" w:hAnsi="Segoe UI" w:cs="Segoe UI"/>
        </w:rPr>
        <w:t>Good Governance Principles</w:t>
      </w:r>
    </w:p>
    <w:p w14:paraId="76D8F88E" w14:textId="7F029B84" w:rsidR="5BEC3B74" w:rsidRDefault="5BEC3B74" w:rsidP="5D8BEFBD">
      <w:pPr>
        <w:spacing w:line="360" w:lineRule="auto"/>
      </w:pPr>
      <w:r w:rsidRPr="5D8BEFBD">
        <w:rPr>
          <w:rFonts w:ascii="Segoe UI" w:eastAsia="Segoe UI" w:hAnsi="Segoe UI" w:cs="Segoe UI"/>
          <w:sz w:val="22"/>
          <w:szCs w:val="22"/>
        </w:rPr>
        <w:t>In 2023, IGCC released a report on investible sector plans</w:t>
      </w:r>
      <w:r w:rsidRPr="5D8BEFBD">
        <w:rPr>
          <w:rStyle w:val="FootnoteReference"/>
          <w:rFonts w:ascii="Segoe UI" w:eastAsia="Segoe UI" w:hAnsi="Segoe UI" w:cs="Segoe UI"/>
          <w:sz w:val="22"/>
          <w:szCs w:val="22"/>
        </w:rPr>
        <w:footnoteReference w:id="1"/>
      </w:r>
      <w:r w:rsidRPr="5D8BEFBD">
        <w:rPr>
          <w:rFonts w:ascii="Segoe UI" w:eastAsia="Segoe UI" w:hAnsi="Segoe UI" w:cs="Segoe UI"/>
          <w:sz w:val="22"/>
          <w:szCs w:val="22"/>
        </w:rPr>
        <w:t xml:space="preserve">, which provided key features that plans must have for investors to deem them investible. </w:t>
      </w:r>
      <w:r w:rsidR="000E28BB">
        <w:rPr>
          <w:rFonts w:ascii="Segoe UI" w:eastAsia="Segoe UI" w:hAnsi="Segoe UI" w:cs="Segoe UI"/>
          <w:sz w:val="22"/>
          <w:szCs w:val="22"/>
        </w:rPr>
        <w:t xml:space="preserve">The principles from this report have been used to inform this response, wherein we propose </w:t>
      </w:r>
      <w:r w:rsidRPr="5D8BEFBD">
        <w:rPr>
          <w:rFonts w:ascii="Segoe UI" w:eastAsia="Segoe UI" w:hAnsi="Segoe UI" w:cs="Segoe UI"/>
          <w:sz w:val="22"/>
          <w:szCs w:val="22"/>
        </w:rPr>
        <w:t>a series of investible good governance principles</w:t>
      </w:r>
      <w:r w:rsidR="000E28BB">
        <w:rPr>
          <w:rFonts w:ascii="Segoe UI" w:eastAsia="Segoe UI" w:hAnsi="Segoe UI" w:cs="Segoe UI"/>
          <w:sz w:val="22"/>
          <w:szCs w:val="22"/>
        </w:rPr>
        <w:t xml:space="preserve">. </w:t>
      </w:r>
    </w:p>
    <w:p w14:paraId="76499750" w14:textId="7FCF6D71" w:rsidR="2E0BDA0C" w:rsidRDefault="2E0BDA0C" w:rsidP="5D8BEFBD">
      <w:pPr>
        <w:pStyle w:val="ListParagraph"/>
        <w:numPr>
          <w:ilvl w:val="0"/>
          <w:numId w:val="1"/>
        </w:numPr>
        <w:spacing w:line="360" w:lineRule="auto"/>
        <w:rPr>
          <w:rFonts w:ascii="Segoe UI" w:eastAsia="Segoe UI" w:hAnsi="Segoe UI" w:cs="Segoe UI"/>
          <w:b/>
          <w:bCs/>
          <w:sz w:val="22"/>
          <w:szCs w:val="22"/>
        </w:rPr>
      </w:pPr>
      <w:r w:rsidRPr="5D8BEFBD">
        <w:rPr>
          <w:rFonts w:ascii="Segoe UI" w:eastAsia="Segoe UI" w:hAnsi="Segoe UI" w:cs="Segoe UI"/>
          <w:b/>
          <w:bCs/>
          <w:sz w:val="22"/>
          <w:szCs w:val="22"/>
        </w:rPr>
        <w:t>C</w:t>
      </w:r>
      <w:r w:rsidR="18A8AC31" w:rsidRPr="5D8BEFBD">
        <w:rPr>
          <w:rFonts w:ascii="Segoe UI" w:eastAsia="Segoe UI" w:hAnsi="Segoe UI" w:cs="Segoe UI"/>
          <w:b/>
          <w:bCs/>
          <w:sz w:val="22"/>
          <w:szCs w:val="22"/>
        </w:rPr>
        <w:t>r</w:t>
      </w:r>
      <w:r w:rsidR="4DA65F7F" w:rsidRPr="5D8BEFBD">
        <w:rPr>
          <w:rFonts w:ascii="Segoe UI" w:eastAsia="Segoe UI" w:hAnsi="Segoe UI" w:cs="Segoe UI"/>
          <w:b/>
          <w:bCs/>
          <w:sz w:val="22"/>
          <w:szCs w:val="22"/>
        </w:rPr>
        <w:t xml:space="preserve">edible: </w:t>
      </w:r>
      <w:r w:rsidRPr="5D8BEFBD">
        <w:rPr>
          <w:rFonts w:ascii="Segoe UI" w:eastAsia="Segoe UI" w:hAnsi="Segoe UI" w:cs="Segoe UI"/>
          <w:b/>
          <w:bCs/>
          <w:sz w:val="22"/>
          <w:szCs w:val="22"/>
        </w:rPr>
        <w:t xml:space="preserve">alignment with </w:t>
      </w:r>
      <w:r w:rsidR="0DEA9B39" w:rsidRPr="5D8BEFBD">
        <w:rPr>
          <w:rFonts w:ascii="Segoe UI" w:eastAsia="Segoe UI" w:hAnsi="Segoe UI" w:cs="Segoe UI"/>
          <w:b/>
          <w:bCs/>
          <w:sz w:val="22"/>
          <w:szCs w:val="22"/>
        </w:rPr>
        <w:t>decarbonisation policy</w:t>
      </w:r>
    </w:p>
    <w:p w14:paraId="4A12EDAE" w14:textId="5E217481" w:rsidR="6F66E828" w:rsidRDefault="6F66E828" w:rsidP="5D8BEFBD">
      <w:pPr>
        <w:spacing w:line="360" w:lineRule="auto"/>
        <w:rPr>
          <w:rFonts w:ascii="Segoe UI" w:eastAsia="Segoe UI" w:hAnsi="Segoe UI" w:cs="Segoe UI"/>
          <w:sz w:val="22"/>
          <w:szCs w:val="22"/>
        </w:rPr>
      </w:pPr>
      <w:r w:rsidRPr="5D8BEFBD">
        <w:rPr>
          <w:rFonts w:ascii="Segoe UI" w:eastAsia="Segoe UI" w:hAnsi="Segoe UI" w:cs="Segoe UI"/>
          <w:sz w:val="22"/>
          <w:szCs w:val="22"/>
        </w:rPr>
        <w:t xml:space="preserve">As the energy transition accelerates, more detailed planning will need to be communicated around </w:t>
      </w:r>
      <w:r w:rsidR="790EDD86" w:rsidRPr="5D8BEFBD">
        <w:rPr>
          <w:rFonts w:ascii="Segoe UI" w:eastAsia="Segoe UI" w:hAnsi="Segoe UI" w:cs="Segoe UI"/>
          <w:sz w:val="22"/>
          <w:szCs w:val="22"/>
        </w:rPr>
        <w:t>the delivery of government targets</w:t>
      </w:r>
      <w:r w:rsidRPr="5D8BEFBD">
        <w:rPr>
          <w:rFonts w:ascii="Segoe UI" w:eastAsia="Segoe UI" w:hAnsi="Segoe UI" w:cs="Segoe UI"/>
          <w:sz w:val="22"/>
          <w:szCs w:val="22"/>
        </w:rPr>
        <w:t xml:space="preserve"> – </w:t>
      </w:r>
      <w:r w:rsidR="5EB48D2E" w:rsidRPr="5D8BEFBD">
        <w:rPr>
          <w:rFonts w:ascii="Segoe UI" w:eastAsia="Segoe UI" w:hAnsi="Segoe UI" w:cs="Segoe UI"/>
          <w:sz w:val="22"/>
          <w:szCs w:val="22"/>
        </w:rPr>
        <w:t xml:space="preserve">including on </w:t>
      </w:r>
      <w:r w:rsidRPr="5D8BEFBD">
        <w:rPr>
          <w:rFonts w:ascii="Segoe UI" w:eastAsia="Segoe UI" w:hAnsi="Segoe UI" w:cs="Segoe UI"/>
          <w:sz w:val="22"/>
          <w:szCs w:val="22"/>
        </w:rPr>
        <w:t>the policies, mechanisms and rule changes that will create a better enab</w:t>
      </w:r>
      <w:r w:rsidR="77BC8AA1" w:rsidRPr="5D8BEFBD">
        <w:rPr>
          <w:rFonts w:ascii="Segoe UI" w:eastAsia="Segoe UI" w:hAnsi="Segoe UI" w:cs="Segoe UI"/>
          <w:sz w:val="22"/>
          <w:szCs w:val="22"/>
        </w:rPr>
        <w:t>ling environment for unlocking</w:t>
      </w:r>
      <w:r w:rsidR="2DA2DF24" w:rsidRPr="5D8BEFBD">
        <w:rPr>
          <w:rFonts w:ascii="Segoe UI" w:eastAsia="Segoe UI" w:hAnsi="Segoe UI" w:cs="Segoe UI"/>
          <w:sz w:val="22"/>
          <w:szCs w:val="22"/>
        </w:rPr>
        <w:t xml:space="preserve"> capital investment in generation, storage and shaping. </w:t>
      </w:r>
    </w:p>
    <w:p w14:paraId="78BDBC16" w14:textId="3F35D532" w:rsidR="5B0C2CCC" w:rsidRDefault="5B0C2CCC" w:rsidP="5D8BEFBD">
      <w:pPr>
        <w:spacing w:line="360" w:lineRule="auto"/>
        <w:rPr>
          <w:rFonts w:ascii="Segoe UI" w:eastAsia="Segoe UI" w:hAnsi="Segoe UI" w:cs="Segoe UI"/>
          <w:sz w:val="22"/>
          <w:szCs w:val="22"/>
        </w:rPr>
      </w:pPr>
      <w:r w:rsidRPr="5D8BEFBD">
        <w:rPr>
          <w:rFonts w:ascii="Segoe UI" w:eastAsia="Segoe UI" w:hAnsi="Segoe UI" w:cs="Segoe UI"/>
          <w:sz w:val="22"/>
          <w:szCs w:val="22"/>
        </w:rPr>
        <w:t>AEMO’s C</w:t>
      </w:r>
      <w:r w:rsidR="799B2FE4" w:rsidRPr="5D8BEFBD">
        <w:rPr>
          <w:rFonts w:ascii="Segoe UI" w:eastAsia="Segoe UI" w:hAnsi="Segoe UI" w:cs="Segoe UI"/>
          <w:sz w:val="22"/>
          <w:szCs w:val="22"/>
        </w:rPr>
        <w:t xml:space="preserve">orporate Plan should </w:t>
      </w:r>
      <w:r w:rsidR="757F99F6" w:rsidRPr="5D8BEFBD">
        <w:rPr>
          <w:rFonts w:ascii="Segoe UI" w:eastAsia="Segoe UI" w:hAnsi="Segoe UI" w:cs="Segoe UI"/>
          <w:sz w:val="22"/>
          <w:szCs w:val="22"/>
        </w:rPr>
        <w:t xml:space="preserve">explicitly </w:t>
      </w:r>
      <w:r w:rsidR="799B2FE4" w:rsidRPr="5D8BEFBD">
        <w:rPr>
          <w:rFonts w:ascii="Segoe UI" w:eastAsia="Segoe UI" w:hAnsi="Segoe UI" w:cs="Segoe UI"/>
          <w:sz w:val="22"/>
          <w:szCs w:val="22"/>
        </w:rPr>
        <w:t xml:space="preserve">consider how to align with </w:t>
      </w:r>
      <w:r w:rsidR="3492DB5D" w:rsidRPr="5D8BEFBD">
        <w:rPr>
          <w:rFonts w:ascii="Segoe UI" w:eastAsia="Segoe UI" w:hAnsi="Segoe UI" w:cs="Segoe UI"/>
          <w:sz w:val="22"/>
          <w:szCs w:val="22"/>
        </w:rPr>
        <w:t xml:space="preserve">state, territory and federal </w:t>
      </w:r>
      <w:r w:rsidR="799B2FE4" w:rsidRPr="5D8BEFBD">
        <w:rPr>
          <w:rFonts w:ascii="Segoe UI" w:eastAsia="Segoe UI" w:hAnsi="Segoe UI" w:cs="Segoe UI"/>
          <w:sz w:val="22"/>
          <w:szCs w:val="22"/>
        </w:rPr>
        <w:t>government policy and targets</w:t>
      </w:r>
      <w:r w:rsidRPr="5D8BEFBD">
        <w:rPr>
          <w:rStyle w:val="FootnoteReference"/>
          <w:rFonts w:ascii="Segoe UI" w:eastAsia="Segoe UI" w:hAnsi="Segoe UI" w:cs="Segoe UI"/>
          <w:sz w:val="22"/>
          <w:szCs w:val="22"/>
        </w:rPr>
        <w:footnoteReference w:id="2"/>
      </w:r>
      <w:r w:rsidR="29AD53BF" w:rsidRPr="5D8BEFBD">
        <w:rPr>
          <w:rFonts w:ascii="Segoe UI" w:eastAsia="Segoe UI" w:hAnsi="Segoe UI" w:cs="Segoe UI"/>
          <w:sz w:val="22"/>
          <w:szCs w:val="22"/>
        </w:rPr>
        <w:t xml:space="preserve">, given that it is responsible for delivering them. </w:t>
      </w:r>
    </w:p>
    <w:p w14:paraId="1BBF06F5" w14:textId="77777777" w:rsidR="000E28BB" w:rsidRDefault="000E28BB" w:rsidP="5D8BEFBD">
      <w:pPr>
        <w:spacing w:line="360" w:lineRule="auto"/>
        <w:rPr>
          <w:rFonts w:ascii="Segoe UI" w:eastAsia="Segoe UI" w:hAnsi="Segoe UI" w:cs="Segoe UI"/>
          <w:sz w:val="22"/>
          <w:szCs w:val="22"/>
        </w:rPr>
      </w:pPr>
    </w:p>
    <w:p w14:paraId="74E217B9" w14:textId="4BA7AF39" w:rsidR="1537031C" w:rsidRDefault="1537031C" w:rsidP="5D8BEFBD">
      <w:pPr>
        <w:pStyle w:val="ListParagraph"/>
        <w:numPr>
          <w:ilvl w:val="0"/>
          <w:numId w:val="1"/>
        </w:numPr>
        <w:spacing w:line="360" w:lineRule="auto"/>
        <w:rPr>
          <w:rFonts w:ascii="Segoe UI" w:eastAsia="Segoe UI" w:hAnsi="Segoe UI" w:cs="Segoe UI"/>
          <w:b/>
          <w:bCs/>
        </w:rPr>
      </w:pPr>
      <w:r w:rsidRPr="5D8BEFBD">
        <w:rPr>
          <w:rFonts w:ascii="Segoe UI" w:eastAsia="Segoe UI" w:hAnsi="Segoe UI" w:cs="Segoe UI"/>
          <w:b/>
          <w:bCs/>
        </w:rPr>
        <w:lastRenderedPageBreak/>
        <w:t xml:space="preserve">Informed: </w:t>
      </w:r>
      <w:r w:rsidR="0F4479A0" w:rsidRPr="5D8BEFBD">
        <w:rPr>
          <w:rFonts w:ascii="Segoe UI" w:eastAsia="Segoe UI" w:hAnsi="Segoe UI" w:cs="Segoe UI"/>
          <w:b/>
          <w:bCs/>
        </w:rPr>
        <w:t>data gathering, research and modelling</w:t>
      </w:r>
    </w:p>
    <w:p w14:paraId="4B6F02B5" w14:textId="0A7A9E8D" w:rsidR="4BCA295A" w:rsidRDefault="4BCA295A" w:rsidP="5D8BEFBD">
      <w:pPr>
        <w:spacing w:line="360" w:lineRule="auto"/>
      </w:pPr>
      <w:r w:rsidRPr="5D8BEFBD">
        <w:rPr>
          <w:rFonts w:ascii="Segoe UI" w:eastAsia="Segoe UI" w:hAnsi="Segoe UI" w:cs="Segoe UI"/>
          <w:sz w:val="22"/>
          <w:szCs w:val="22"/>
        </w:rPr>
        <w:t>The Integrated System Plan is a key resource to markets for analysis of how much development is needed for the NEM, and by when, to meet consumer needs. AEMO acknowledges that an enhanced focus on CER, distribution networks, gas and electricity interactions and investment signals, is required. IGCC would like to emphasise that the gaps in data, research and modelling are more significant on the demand-side, especially for energy management.</w:t>
      </w:r>
    </w:p>
    <w:p w14:paraId="0704AEA6" w14:textId="738C786D" w:rsidR="4BCA295A" w:rsidRDefault="4BCA295A" w:rsidP="5D8BEFBD">
      <w:pPr>
        <w:spacing w:line="360" w:lineRule="auto"/>
      </w:pPr>
      <w:r w:rsidRPr="5D8BEFBD">
        <w:rPr>
          <w:rFonts w:ascii="Segoe UI" w:eastAsia="Segoe UI" w:hAnsi="Segoe UI" w:cs="Segoe UI"/>
          <w:sz w:val="22"/>
          <w:szCs w:val="22"/>
        </w:rPr>
        <w:t xml:space="preserve">CER is already a significant source of supply in the electricity </w:t>
      </w:r>
      <w:proofErr w:type="gramStart"/>
      <w:r w:rsidRPr="5D8BEFBD">
        <w:rPr>
          <w:rFonts w:ascii="Segoe UI" w:eastAsia="Segoe UI" w:hAnsi="Segoe UI" w:cs="Segoe UI"/>
          <w:sz w:val="22"/>
          <w:szCs w:val="22"/>
        </w:rPr>
        <w:t>markets, and</w:t>
      </w:r>
      <w:proofErr w:type="gramEnd"/>
      <w:r w:rsidRPr="5D8BEFBD">
        <w:rPr>
          <w:rFonts w:ascii="Segoe UI" w:eastAsia="Segoe UI" w:hAnsi="Segoe UI" w:cs="Segoe UI"/>
          <w:sz w:val="22"/>
          <w:szCs w:val="22"/>
        </w:rPr>
        <w:t xml:space="preserve"> must become better integrated for the sector to reach net-zero. This starts with modelling that provides rigorous analysis to market of all the options for providing energy services to consumers including generation, storage and aggregated CER, but also passive options including energy efficiency.</w:t>
      </w:r>
      <w:r w:rsidR="00453A01">
        <w:rPr>
          <w:rFonts w:ascii="Segoe UI" w:eastAsia="Segoe UI" w:hAnsi="Segoe UI" w:cs="Segoe UI"/>
          <w:sz w:val="22"/>
          <w:szCs w:val="22"/>
        </w:rPr>
        <w:t xml:space="preserve"> This should also</w:t>
      </w:r>
      <w:r w:rsidR="00453A01">
        <w:rPr>
          <w:rFonts w:ascii="Segoe UI" w:eastAsia="Segoe UI" w:hAnsi="Segoe UI" w:cs="Segoe UI"/>
          <w:sz w:val="22"/>
          <w:szCs w:val="22"/>
        </w:rPr>
        <w:t xml:space="preserve"> </w:t>
      </w:r>
      <w:proofErr w:type="gramStart"/>
      <w:r w:rsidR="00453A01">
        <w:rPr>
          <w:rFonts w:ascii="Segoe UI" w:eastAsia="Segoe UI" w:hAnsi="Segoe UI" w:cs="Segoe UI"/>
          <w:sz w:val="22"/>
          <w:szCs w:val="22"/>
        </w:rPr>
        <w:t>includes</w:t>
      </w:r>
      <w:proofErr w:type="gramEnd"/>
      <w:r w:rsidR="00453A01">
        <w:rPr>
          <w:rFonts w:ascii="Segoe UI" w:eastAsia="Segoe UI" w:hAnsi="Segoe UI" w:cs="Segoe UI"/>
          <w:sz w:val="22"/>
          <w:szCs w:val="22"/>
        </w:rPr>
        <w:t xml:space="preserve"> an assessment of demand-side carbon abatement incentive structures</w:t>
      </w:r>
      <w:r w:rsidR="00453A01" w:rsidRPr="2ABCEA60">
        <w:rPr>
          <w:rFonts w:ascii="Segoe UI" w:eastAsia="Segoe UI" w:hAnsi="Segoe UI" w:cs="Segoe UI"/>
          <w:sz w:val="22"/>
          <w:szCs w:val="22"/>
        </w:rPr>
        <w:t>.</w:t>
      </w:r>
    </w:p>
    <w:p w14:paraId="160E0C79" w14:textId="6B7190D6" w:rsidR="62F00E7A" w:rsidRDefault="62F00E7A" w:rsidP="5D8BEFBD">
      <w:pPr>
        <w:pStyle w:val="ListParagraph"/>
        <w:numPr>
          <w:ilvl w:val="0"/>
          <w:numId w:val="1"/>
        </w:numPr>
        <w:spacing w:line="360" w:lineRule="auto"/>
        <w:rPr>
          <w:rFonts w:ascii="Segoe UI" w:eastAsia="Segoe UI" w:hAnsi="Segoe UI" w:cs="Segoe UI"/>
          <w:b/>
          <w:bCs/>
        </w:rPr>
      </w:pPr>
      <w:r w:rsidRPr="5D8BEFBD">
        <w:rPr>
          <w:rFonts w:ascii="Segoe UI" w:eastAsia="Segoe UI" w:hAnsi="Segoe UI" w:cs="Segoe UI"/>
          <w:b/>
          <w:bCs/>
        </w:rPr>
        <w:t>Clear: d</w:t>
      </w:r>
      <w:r w:rsidR="3F47E229" w:rsidRPr="5D8BEFBD">
        <w:rPr>
          <w:rFonts w:ascii="Segoe UI" w:eastAsia="Segoe UI" w:hAnsi="Segoe UI" w:cs="Segoe UI"/>
          <w:b/>
          <w:bCs/>
        </w:rPr>
        <w:t xml:space="preserve">ecision-making </w:t>
      </w:r>
    </w:p>
    <w:p w14:paraId="157EE1CC" w14:textId="19039E27" w:rsidR="134F948C" w:rsidRDefault="134F948C" w:rsidP="5D8BEFBD">
      <w:pPr>
        <w:spacing w:line="360" w:lineRule="auto"/>
        <w:rPr>
          <w:rFonts w:ascii="Segoe UI" w:eastAsia="Segoe UI" w:hAnsi="Segoe UI" w:cs="Segoe UI"/>
          <w:sz w:val="22"/>
          <w:szCs w:val="22"/>
        </w:rPr>
      </w:pPr>
      <w:r w:rsidRPr="5D8BEFBD">
        <w:rPr>
          <w:rFonts w:ascii="Segoe UI" w:eastAsia="Segoe UI" w:hAnsi="Segoe UI" w:cs="Segoe UI"/>
          <w:sz w:val="22"/>
          <w:szCs w:val="22"/>
        </w:rPr>
        <w:t xml:space="preserve">The demand-side has been less of a focus for market bodies, and responsibility on decision-making is split across many organisations. </w:t>
      </w:r>
      <w:r w:rsidR="4DF38882" w:rsidRPr="5D8BEFBD">
        <w:rPr>
          <w:rFonts w:ascii="Segoe UI" w:eastAsia="Segoe UI" w:hAnsi="Segoe UI" w:cs="Segoe UI"/>
          <w:sz w:val="22"/>
          <w:szCs w:val="22"/>
        </w:rPr>
        <w:t>The NEM governance system would benefit from a greater range of stakeholder engagement, particularly from consumers and demand-side experts</w:t>
      </w:r>
      <w:r w:rsidR="00453A01">
        <w:rPr>
          <w:rFonts w:ascii="Segoe UI" w:eastAsia="Segoe UI" w:hAnsi="Segoe UI" w:cs="Segoe UI"/>
          <w:sz w:val="22"/>
          <w:szCs w:val="22"/>
        </w:rPr>
        <w:t>, such as VPP operators</w:t>
      </w:r>
      <w:r w:rsidR="4DF38882" w:rsidRPr="5D8BEFBD">
        <w:rPr>
          <w:rFonts w:ascii="Segoe UI" w:eastAsia="Segoe UI" w:hAnsi="Segoe UI" w:cs="Segoe UI"/>
          <w:sz w:val="22"/>
          <w:szCs w:val="22"/>
        </w:rPr>
        <w:t xml:space="preserve">. Clarity to market around which entities are responsible for what parts of the net-zero transition would be useful. </w:t>
      </w:r>
    </w:p>
    <w:p w14:paraId="61929FFC" w14:textId="1D214DE2" w:rsidR="5D8BEFBD" w:rsidRPr="000E28BB" w:rsidRDefault="0C27B471" w:rsidP="5D8BEFBD">
      <w:pPr>
        <w:spacing w:line="360" w:lineRule="auto"/>
      </w:pPr>
      <w:r w:rsidRPr="5D8BEFBD">
        <w:rPr>
          <w:rFonts w:ascii="Segoe UI" w:eastAsia="Segoe UI" w:hAnsi="Segoe UI" w:cs="Segoe UI"/>
          <w:sz w:val="22"/>
          <w:szCs w:val="22"/>
        </w:rPr>
        <w:t xml:space="preserve">As AEMO’s oversight role in delivering the transition increases, there will be a need for deeper evaluation of systems’ progress towards net-zero than is currently provided in the ISP. Understanding which entities are responsible for delivering the ISP is also critical. </w:t>
      </w:r>
    </w:p>
    <w:p w14:paraId="20DBA36B" w14:textId="52092719" w:rsidR="0A6AD32A" w:rsidRDefault="0A6AD32A" w:rsidP="5D8BEFBD">
      <w:pPr>
        <w:pStyle w:val="ListParagraph"/>
        <w:numPr>
          <w:ilvl w:val="0"/>
          <w:numId w:val="1"/>
        </w:numPr>
        <w:spacing w:line="360" w:lineRule="auto"/>
        <w:rPr>
          <w:rFonts w:ascii="Segoe UI" w:eastAsia="Segoe UI" w:hAnsi="Segoe UI" w:cs="Segoe UI"/>
          <w:b/>
          <w:bCs/>
        </w:rPr>
      </w:pPr>
      <w:r w:rsidRPr="5D8BEFBD">
        <w:rPr>
          <w:rFonts w:ascii="Segoe UI" w:eastAsia="Segoe UI" w:hAnsi="Segoe UI" w:cs="Segoe UI"/>
          <w:b/>
          <w:bCs/>
        </w:rPr>
        <w:t>Comprehensive</w:t>
      </w:r>
      <w:r w:rsidR="53A1A76E" w:rsidRPr="5D8BEFBD">
        <w:rPr>
          <w:rFonts w:ascii="Segoe UI" w:eastAsia="Segoe UI" w:hAnsi="Segoe UI" w:cs="Segoe UI"/>
          <w:b/>
          <w:bCs/>
        </w:rPr>
        <w:t xml:space="preserve">: </w:t>
      </w:r>
      <w:r w:rsidRPr="5D8BEFBD">
        <w:rPr>
          <w:rFonts w:ascii="Segoe UI" w:eastAsia="Segoe UI" w:hAnsi="Segoe UI" w:cs="Segoe UI"/>
          <w:b/>
          <w:bCs/>
        </w:rPr>
        <w:t>strategic advice</w:t>
      </w:r>
    </w:p>
    <w:p w14:paraId="5B043950" w14:textId="3F4BC905" w:rsidR="56D3C907" w:rsidRDefault="56D3C907" w:rsidP="5D8BEFBD">
      <w:pPr>
        <w:spacing w:line="360" w:lineRule="auto"/>
        <w:rPr>
          <w:rFonts w:ascii="Segoe UI" w:eastAsia="Segoe UI" w:hAnsi="Segoe UI" w:cs="Segoe UI"/>
          <w:sz w:val="22"/>
          <w:szCs w:val="22"/>
        </w:rPr>
      </w:pPr>
      <w:r w:rsidRPr="5D8BEFBD">
        <w:rPr>
          <w:rFonts w:ascii="Segoe UI" w:eastAsia="Segoe UI" w:hAnsi="Segoe UI" w:cs="Segoe UI"/>
          <w:sz w:val="22"/>
          <w:szCs w:val="22"/>
        </w:rPr>
        <w:t>Strategic advice on the future needs of the electricity and energy sector should be provided</w:t>
      </w:r>
      <w:r w:rsidR="7A6DF0AE" w:rsidRPr="5D8BEFBD">
        <w:rPr>
          <w:rFonts w:ascii="Segoe UI" w:eastAsia="Segoe UI" w:hAnsi="Segoe UI" w:cs="Segoe UI"/>
          <w:sz w:val="22"/>
          <w:szCs w:val="22"/>
        </w:rPr>
        <w:t xml:space="preserve"> to the Energy and Climate Change Ministerial Council</w:t>
      </w:r>
      <w:r w:rsidRPr="5D8BEFBD">
        <w:rPr>
          <w:rFonts w:ascii="Segoe UI" w:eastAsia="Segoe UI" w:hAnsi="Segoe UI" w:cs="Segoe UI"/>
          <w:sz w:val="22"/>
          <w:szCs w:val="22"/>
        </w:rPr>
        <w:t xml:space="preserve">, in a way that is aligned with the sector’s decarbonisation and renewable energy goals. </w:t>
      </w:r>
    </w:p>
    <w:p w14:paraId="2C0C36D4" w14:textId="376A0705" w:rsidR="0CF15E95" w:rsidRDefault="0CF15E95" w:rsidP="5D8BEFBD">
      <w:pPr>
        <w:spacing w:line="360" w:lineRule="auto"/>
        <w:rPr>
          <w:rFonts w:ascii="Segoe UI" w:eastAsia="Segoe UI" w:hAnsi="Segoe UI" w:cs="Segoe UI"/>
          <w:sz w:val="22"/>
          <w:szCs w:val="22"/>
        </w:rPr>
      </w:pPr>
      <w:r w:rsidRPr="5D8BEFBD">
        <w:rPr>
          <w:rFonts w:ascii="Segoe UI" w:eastAsia="Segoe UI" w:hAnsi="Segoe UI" w:cs="Segoe UI"/>
          <w:sz w:val="22"/>
          <w:szCs w:val="22"/>
        </w:rPr>
        <w:lastRenderedPageBreak/>
        <w:t xml:space="preserve">There is a need for advice </w:t>
      </w:r>
      <w:r w:rsidR="3C9817F7" w:rsidRPr="5D8BEFBD">
        <w:rPr>
          <w:rFonts w:ascii="Segoe UI" w:eastAsia="Segoe UI" w:hAnsi="Segoe UI" w:cs="Segoe UI"/>
          <w:sz w:val="22"/>
          <w:szCs w:val="22"/>
        </w:rPr>
        <w:t>that</w:t>
      </w:r>
      <w:r w:rsidRPr="5D8BEFBD">
        <w:rPr>
          <w:rFonts w:ascii="Segoe UI" w:eastAsia="Segoe UI" w:hAnsi="Segoe UI" w:cs="Segoe UI"/>
          <w:sz w:val="22"/>
          <w:szCs w:val="22"/>
        </w:rPr>
        <w:t xml:space="preserve"> consider</w:t>
      </w:r>
      <w:r w:rsidR="69D54F73" w:rsidRPr="5D8BEFBD">
        <w:rPr>
          <w:rFonts w:ascii="Segoe UI" w:eastAsia="Segoe UI" w:hAnsi="Segoe UI" w:cs="Segoe UI"/>
          <w:sz w:val="22"/>
          <w:szCs w:val="22"/>
        </w:rPr>
        <w:t>s</w:t>
      </w:r>
      <w:r w:rsidRPr="5D8BEFBD">
        <w:rPr>
          <w:rFonts w:ascii="Segoe UI" w:eastAsia="Segoe UI" w:hAnsi="Segoe UI" w:cs="Segoe UI"/>
          <w:sz w:val="22"/>
          <w:szCs w:val="22"/>
        </w:rPr>
        <w:t xml:space="preserve"> both supply- and demand-side issues in an integrated way. This function could potentially be combined with parts of the data and modelling function</w:t>
      </w:r>
      <w:r w:rsidR="51B0AF16" w:rsidRPr="5D8BEFBD">
        <w:rPr>
          <w:rFonts w:ascii="Segoe UI" w:eastAsia="Segoe UI" w:hAnsi="Segoe UI" w:cs="Segoe UI"/>
          <w:sz w:val="22"/>
          <w:szCs w:val="22"/>
        </w:rPr>
        <w:t xml:space="preserve"> that AEMO already does. </w:t>
      </w:r>
    </w:p>
    <w:p w14:paraId="6E28C27A" w14:textId="21B59598" w:rsidR="5D8BEFBD" w:rsidRDefault="7EFD1A27" w:rsidP="5D8BEFBD">
      <w:pPr>
        <w:spacing w:line="360" w:lineRule="auto"/>
        <w:rPr>
          <w:rFonts w:ascii="Segoe UI" w:eastAsia="Segoe UI" w:hAnsi="Segoe UI" w:cs="Segoe UI"/>
          <w:sz w:val="22"/>
          <w:szCs w:val="22"/>
        </w:rPr>
      </w:pPr>
      <w:r w:rsidRPr="5D8BEFBD">
        <w:rPr>
          <w:rFonts w:ascii="Segoe UI" w:eastAsia="Segoe UI" w:hAnsi="Segoe UI" w:cs="Segoe UI"/>
          <w:sz w:val="22"/>
          <w:szCs w:val="22"/>
        </w:rPr>
        <w:t>Where appropriate, AEMO should provide advice to government about where there are gaps in policy, to assist in developing improved settings for reaching net-zero.</w:t>
      </w:r>
    </w:p>
    <w:p w14:paraId="6049E7DE" w14:textId="199270C9" w:rsidR="0554E12A" w:rsidRDefault="0554E12A" w:rsidP="5D8BEFBD">
      <w:pPr>
        <w:pStyle w:val="ListParagraph"/>
        <w:numPr>
          <w:ilvl w:val="0"/>
          <w:numId w:val="1"/>
        </w:numPr>
        <w:spacing w:line="360" w:lineRule="auto"/>
        <w:rPr>
          <w:rFonts w:ascii="Segoe UI" w:eastAsia="Segoe UI" w:hAnsi="Segoe UI" w:cs="Segoe UI"/>
          <w:b/>
          <w:bCs/>
        </w:rPr>
      </w:pPr>
      <w:r w:rsidRPr="5D8BEFBD">
        <w:rPr>
          <w:rFonts w:ascii="Segoe UI" w:eastAsia="Segoe UI" w:hAnsi="Segoe UI" w:cs="Segoe UI"/>
          <w:b/>
          <w:bCs/>
        </w:rPr>
        <w:t xml:space="preserve">Action Orientated: </w:t>
      </w:r>
      <w:r w:rsidR="390E4472" w:rsidRPr="5D8BEFBD">
        <w:rPr>
          <w:rFonts w:ascii="Segoe UI" w:eastAsia="Segoe UI" w:hAnsi="Segoe UI" w:cs="Segoe UI"/>
          <w:b/>
          <w:bCs/>
        </w:rPr>
        <w:t>planning for a dynamic system</w:t>
      </w:r>
    </w:p>
    <w:p w14:paraId="253B787C" w14:textId="705B320F" w:rsidR="1F3601C7" w:rsidRDefault="1F3601C7" w:rsidP="5D8BEFBD">
      <w:pPr>
        <w:spacing w:line="360" w:lineRule="auto"/>
        <w:rPr>
          <w:rFonts w:ascii="Segoe UI" w:eastAsia="Segoe UI" w:hAnsi="Segoe UI" w:cs="Segoe UI"/>
          <w:sz w:val="22"/>
          <w:szCs w:val="22"/>
        </w:rPr>
      </w:pPr>
      <w:r w:rsidRPr="5D8BEFBD">
        <w:rPr>
          <w:rFonts w:ascii="Segoe UI" w:eastAsia="Segoe UI" w:hAnsi="Segoe UI" w:cs="Segoe UI"/>
          <w:sz w:val="22"/>
          <w:szCs w:val="22"/>
        </w:rPr>
        <w:t xml:space="preserve">As the </w:t>
      </w:r>
      <w:r w:rsidR="6928A9FE" w:rsidRPr="5D8BEFBD">
        <w:rPr>
          <w:rFonts w:ascii="Segoe UI" w:eastAsia="Segoe UI" w:hAnsi="Segoe UI" w:cs="Segoe UI"/>
          <w:sz w:val="22"/>
          <w:szCs w:val="22"/>
        </w:rPr>
        <w:t>grid becomes</w:t>
      </w:r>
      <w:r w:rsidRPr="5D8BEFBD">
        <w:rPr>
          <w:rFonts w:ascii="Segoe UI" w:eastAsia="Segoe UI" w:hAnsi="Segoe UI" w:cs="Segoe UI"/>
          <w:sz w:val="22"/>
          <w:szCs w:val="22"/>
        </w:rPr>
        <w:t xml:space="preserve"> more two-sided systems, where customers can actively participate in both buying</w:t>
      </w:r>
      <w:r w:rsidR="00453A01">
        <w:rPr>
          <w:rFonts w:ascii="Segoe UI" w:eastAsia="Segoe UI" w:hAnsi="Segoe UI" w:cs="Segoe UI"/>
          <w:sz w:val="22"/>
          <w:szCs w:val="22"/>
        </w:rPr>
        <w:t>, storing</w:t>
      </w:r>
      <w:r w:rsidRPr="5D8BEFBD">
        <w:rPr>
          <w:rFonts w:ascii="Segoe UI" w:eastAsia="Segoe UI" w:hAnsi="Segoe UI" w:cs="Segoe UI"/>
          <w:sz w:val="22"/>
          <w:szCs w:val="22"/>
        </w:rPr>
        <w:t xml:space="preserve"> and selling electricity, </w:t>
      </w:r>
      <w:r w:rsidR="05C826D7" w:rsidRPr="5D8BEFBD">
        <w:rPr>
          <w:rFonts w:ascii="Segoe UI" w:eastAsia="Segoe UI" w:hAnsi="Segoe UI" w:cs="Segoe UI"/>
          <w:sz w:val="22"/>
          <w:szCs w:val="22"/>
        </w:rPr>
        <w:t xml:space="preserve">new responsibilities for operating the market will emerge. </w:t>
      </w:r>
      <w:r w:rsidR="72F520CA" w:rsidRPr="5D8BEFBD">
        <w:rPr>
          <w:rFonts w:ascii="Segoe UI" w:eastAsia="Segoe UI" w:hAnsi="Segoe UI" w:cs="Segoe UI"/>
          <w:sz w:val="22"/>
          <w:szCs w:val="22"/>
        </w:rPr>
        <w:t xml:space="preserve">Many demand-side issues are considered out-of-scope for AEMO and the AER, and responsibility is split across a wide range of organisations. There is a significant gap on </w:t>
      </w:r>
      <w:r w:rsidR="5C895BC5" w:rsidRPr="5D8BEFBD">
        <w:rPr>
          <w:rFonts w:ascii="Segoe UI" w:eastAsia="Segoe UI" w:hAnsi="Segoe UI" w:cs="Segoe UI"/>
          <w:sz w:val="22"/>
          <w:szCs w:val="22"/>
        </w:rPr>
        <w:t xml:space="preserve">demand-management </w:t>
      </w:r>
      <w:r w:rsidR="18F6C050" w:rsidRPr="5D8BEFBD">
        <w:rPr>
          <w:rFonts w:ascii="Segoe UI" w:eastAsia="Segoe UI" w:hAnsi="Segoe UI" w:cs="Segoe UI"/>
          <w:sz w:val="22"/>
          <w:szCs w:val="22"/>
        </w:rPr>
        <w:t>policy</w:t>
      </w:r>
      <w:r w:rsidR="31E9F722" w:rsidRPr="5D8BEFBD">
        <w:rPr>
          <w:rFonts w:ascii="Segoe UI" w:eastAsia="Segoe UI" w:hAnsi="Segoe UI" w:cs="Segoe UI"/>
          <w:sz w:val="22"/>
          <w:szCs w:val="22"/>
        </w:rPr>
        <w:t>, which needs attention.</w:t>
      </w:r>
      <w:r w:rsidR="39C09A43" w:rsidRPr="5D8BEFBD">
        <w:rPr>
          <w:rFonts w:ascii="Segoe UI" w:eastAsia="Segoe UI" w:hAnsi="Segoe UI" w:cs="Segoe UI"/>
          <w:sz w:val="22"/>
          <w:szCs w:val="22"/>
        </w:rPr>
        <w:t xml:space="preserve"> Active planning around how the demand side will be properly integrated must be communicated to market. </w:t>
      </w:r>
    </w:p>
    <w:p w14:paraId="09ED6256" w14:textId="5C47274A" w:rsidR="5D8BEFBD" w:rsidRDefault="5D8BEFBD" w:rsidP="5D8BEFBD">
      <w:pPr>
        <w:spacing w:line="360" w:lineRule="auto"/>
        <w:rPr>
          <w:rFonts w:ascii="Segoe UI" w:eastAsia="Segoe UI" w:hAnsi="Segoe UI" w:cs="Segoe UI"/>
          <w:sz w:val="22"/>
          <w:szCs w:val="22"/>
        </w:rPr>
      </w:pPr>
    </w:p>
    <w:p w14:paraId="2D29297B" w14:textId="46FFFA58" w:rsidR="2F84AC3E" w:rsidRDefault="2F84AC3E" w:rsidP="5D8BEFBD">
      <w:pPr>
        <w:pStyle w:val="Heading2"/>
        <w:spacing w:line="360" w:lineRule="auto"/>
        <w:rPr>
          <w:rFonts w:ascii="Segoe UI" w:eastAsia="Segoe UI" w:hAnsi="Segoe UI" w:cs="Segoe UI"/>
        </w:rPr>
      </w:pPr>
      <w:r w:rsidRPr="5D8BEFBD">
        <w:rPr>
          <w:rFonts w:ascii="Segoe UI" w:eastAsia="Segoe UI" w:hAnsi="Segoe UI" w:cs="Segoe UI"/>
        </w:rPr>
        <w:t>For more information</w:t>
      </w:r>
    </w:p>
    <w:p w14:paraId="44E23B27" w14:textId="2A26FA45" w:rsidR="64F745B6" w:rsidRDefault="64F745B6" w:rsidP="5D8BEFBD">
      <w:pPr>
        <w:spacing w:line="360" w:lineRule="auto"/>
        <w:rPr>
          <w:rFonts w:ascii="Segoe UI" w:eastAsia="Segoe UI" w:hAnsi="Segoe UI" w:cs="Segoe UI"/>
          <w:sz w:val="22"/>
          <w:szCs w:val="22"/>
        </w:rPr>
      </w:pPr>
      <w:r w:rsidRPr="5D8BEFBD">
        <w:rPr>
          <w:rFonts w:ascii="Segoe UI" w:eastAsia="Segoe UI" w:hAnsi="Segoe UI" w:cs="Segoe UI"/>
          <w:sz w:val="22"/>
          <w:szCs w:val="22"/>
        </w:rPr>
        <w:t>IGCC look</w:t>
      </w:r>
      <w:r w:rsidR="000E28BB">
        <w:rPr>
          <w:rFonts w:ascii="Segoe UI" w:eastAsia="Segoe UI" w:hAnsi="Segoe UI" w:cs="Segoe UI"/>
          <w:sz w:val="22"/>
          <w:szCs w:val="22"/>
        </w:rPr>
        <w:t>s</w:t>
      </w:r>
      <w:r w:rsidRPr="5D8BEFBD">
        <w:rPr>
          <w:rFonts w:ascii="Segoe UI" w:eastAsia="Segoe UI" w:hAnsi="Segoe UI" w:cs="Segoe UI"/>
          <w:sz w:val="22"/>
          <w:szCs w:val="22"/>
        </w:rPr>
        <w:t xml:space="preserve"> forward to continued engagement with AEMO. If further information is useful, please contact Bethany Richards</w:t>
      </w:r>
      <w:r w:rsidR="000E28BB">
        <w:rPr>
          <w:rFonts w:ascii="Segoe UI" w:eastAsia="Segoe UI" w:hAnsi="Segoe UI" w:cs="Segoe UI"/>
          <w:sz w:val="22"/>
          <w:szCs w:val="22"/>
        </w:rPr>
        <w:t>.</w:t>
      </w:r>
    </w:p>
    <w:sectPr w:rsidR="64F745B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516E2" w14:textId="77777777" w:rsidR="00DD228C" w:rsidRDefault="00DD228C">
      <w:pPr>
        <w:spacing w:after="0" w:line="240" w:lineRule="auto"/>
      </w:pPr>
      <w:r>
        <w:separator/>
      </w:r>
    </w:p>
  </w:endnote>
  <w:endnote w:type="continuationSeparator" w:id="0">
    <w:p w14:paraId="17FE30B0" w14:textId="77777777" w:rsidR="00DD228C" w:rsidRDefault="00DD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A1A6" w14:textId="77777777" w:rsidR="00DD228C" w:rsidRDefault="00DD228C">
      <w:pPr>
        <w:spacing w:after="0" w:line="240" w:lineRule="auto"/>
      </w:pPr>
      <w:r>
        <w:separator/>
      </w:r>
    </w:p>
  </w:footnote>
  <w:footnote w:type="continuationSeparator" w:id="0">
    <w:p w14:paraId="772015AB" w14:textId="77777777" w:rsidR="00DD228C" w:rsidRDefault="00DD228C">
      <w:pPr>
        <w:spacing w:after="0" w:line="240" w:lineRule="auto"/>
      </w:pPr>
      <w:r>
        <w:continuationSeparator/>
      </w:r>
    </w:p>
  </w:footnote>
  <w:footnote w:id="1">
    <w:p w14:paraId="3397476D" w14:textId="4D063C79" w:rsidR="5D8BEFBD" w:rsidRDefault="5D8BEFBD" w:rsidP="5D8BEFBD">
      <w:pPr>
        <w:pStyle w:val="FootnoteText"/>
      </w:pPr>
      <w:r w:rsidRPr="5D8BEFBD">
        <w:rPr>
          <w:rStyle w:val="FootnoteReference"/>
        </w:rPr>
        <w:footnoteRef/>
      </w:r>
      <w:r>
        <w:t xml:space="preserve"> IGCC 2023, Investible Sector Plans Report [</w:t>
      </w:r>
      <w:hyperlink r:id="rId1">
        <w:r w:rsidRPr="5D8BEFBD">
          <w:rPr>
            <w:rStyle w:val="Hyperlink"/>
          </w:rPr>
          <w:t>link</w:t>
        </w:r>
      </w:hyperlink>
      <w:r>
        <w:t>].</w:t>
      </w:r>
    </w:p>
  </w:footnote>
  <w:footnote w:id="2">
    <w:p w14:paraId="4B24C387" w14:textId="01E68D7E" w:rsidR="5D8BEFBD" w:rsidRDefault="5D8BEFBD" w:rsidP="5D8BEFBD">
      <w:pPr>
        <w:pStyle w:val="FootnoteText"/>
      </w:pPr>
      <w:r w:rsidRPr="5D8BEFBD">
        <w:rPr>
          <w:rStyle w:val="FootnoteReference"/>
        </w:rPr>
        <w:footnoteRef/>
      </w:r>
      <w:r>
        <w:t xml:space="preserve"> Where misaligned, this should also be communicated.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6769"/>
    <w:multiLevelType w:val="hybridMultilevel"/>
    <w:tmpl w:val="33022236"/>
    <w:lvl w:ilvl="0" w:tplc="B882D83E">
      <w:start w:val="1"/>
      <w:numFmt w:val="decimal"/>
      <w:lvlText w:val="%1."/>
      <w:lvlJc w:val="left"/>
      <w:pPr>
        <w:ind w:left="720" w:hanging="360"/>
      </w:pPr>
    </w:lvl>
    <w:lvl w:ilvl="1" w:tplc="65D658EA">
      <w:start w:val="1"/>
      <w:numFmt w:val="lowerLetter"/>
      <w:lvlText w:val="%2."/>
      <w:lvlJc w:val="left"/>
      <w:pPr>
        <w:ind w:left="1440" w:hanging="360"/>
      </w:pPr>
    </w:lvl>
    <w:lvl w:ilvl="2" w:tplc="A008CB9A">
      <w:start w:val="1"/>
      <w:numFmt w:val="lowerRoman"/>
      <w:lvlText w:val="%3."/>
      <w:lvlJc w:val="right"/>
      <w:pPr>
        <w:ind w:left="2160" w:hanging="180"/>
      </w:pPr>
    </w:lvl>
    <w:lvl w:ilvl="3" w:tplc="58F8B2C8">
      <w:start w:val="1"/>
      <w:numFmt w:val="decimal"/>
      <w:lvlText w:val="%4."/>
      <w:lvlJc w:val="left"/>
      <w:pPr>
        <w:ind w:left="2880" w:hanging="360"/>
      </w:pPr>
    </w:lvl>
    <w:lvl w:ilvl="4" w:tplc="26DAD114">
      <w:start w:val="1"/>
      <w:numFmt w:val="lowerLetter"/>
      <w:lvlText w:val="%5."/>
      <w:lvlJc w:val="left"/>
      <w:pPr>
        <w:ind w:left="3600" w:hanging="360"/>
      </w:pPr>
    </w:lvl>
    <w:lvl w:ilvl="5" w:tplc="699C0CD2">
      <w:start w:val="1"/>
      <w:numFmt w:val="lowerRoman"/>
      <w:lvlText w:val="%6."/>
      <w:lvlJc w:val="right"/>
      <w:pPr>
        <w:ind w:left="4320" w:hanging="180"/>
      </w:pPr>
    </w:lvl>
    <w:lvl w:ilvl="6" w:tplc="226E39D6">
      <w:start w:val="1"/>
      <w:numFmt w:val="decimal"/>
      <w:lvlText w:val="%7."/>
      <w:lvlJc w:val="left"/>
      <w:pPr>
        <w:ind w:left="5040" w:hanging="360"/>
      </w:pPr>
    </w:lvl>
    <w:lvl w:ilvl="7" w:tplc="1570AF5C">
      <w:start w:val="1"/>
      <w:numFmt w:val="lowerLetter"/>
      <w:lvlText w:val="%8."/>
      <w:lvlJc w:val="left"/>
      <w:pPr>
        <w:ind w:left="5760" w:hanging="360"/>
      </w:pPr>
    </w:lvl>
    <w:lvl w:ilvl="8" w:tplc="EEE8C6C2">
      <w:start w:val="1"/>
      <w:numFmt w:val="lowerRoman"/>
      <w:lvlText w:val="%9."/>
      <w:lvlJc w:val="right"/>
      <w:pPr>
        <w:ind w:left="6480" w:hanging="180"/>
      </w:pPr>
    </w:lvl>
  </w:abstractNum>
  <w:abstractNum w:abstractNumId="1" w15:restartNumberingAfterBreak="0">
    <w:nsid w:val="4ABE709A"/>
    <w:multiLevelType w:val="hybridMultilevel"/>
    <w:tmpl w:val="D4F08ACE"/>
    <w:lvl w:ilvl="0" w:tplc="A748E544">
      <w:start w:val="1"/>
      <w:numFmt w:val="bullet"/>
      <w:lvlText w:val=""/>
      <w:lvlJc w:val="left"/>
      <w:pPr>
        <w:ind w:left="720" w:hanging="360"/>
      </w:pPr>
      <w:rPr>
        <w:rFonts w:ascii="Symbol" w:hAnsi="Symbol" w:hint="default"/>
      </w:rPr>
    </w:lvl>
    <w:lvl w:ilvl="1" w:tplc="1DB068C0">
      <w:start w:val="1"/>
      <w:numFmt w:val="bullet"/>
      <w:lvlText w:val="o"/>
      <w:lvlJc w:val="left"/>
      <w:pPr>
        <w:ind w:left="1440" w:hanging="360"/>
      </w:pPr>
      <w:rPr>
        <w:rFonts w:ascii="Courier New" w:hAnsi="Courier New" w:hint="default"/>
      </w:rPr>
    </w:lvl>
    <w:lvl w:ilvl="2" w:tplc="EFD2E98E">
      <w:start w:val="1"/>
      <w:numFmt w:val="bullet"/>
      <w:lvlText w:val=""/>
      <w:lvlJc w:val="left"/>
      <w:pPr>
        <w:ind w:left="2160" w:hanging="360"/>
      </w:pPr>
      <w:rPr>
        <w:rFonts w:ascii="Wingdings" w:hAnsi="Wingdings" w:hint="default"/>
      </w:rPr>
    </w:lvl>
    <w:lvl w:ilvl="3" w:tplc="9538E8CA">
      <w:start w:val="1"/>
      <w:numFmt w:val="bullet"/>
      <w:lvlText w:val=""/>
      <w:lvlJc w:val="left"/>
      <w:pPr>
        <w:ind w:left="2880" w:hanging="360"/>
      </w:pPr>
      <w:rPr>
        <w:rFonts w:ascii="Symbol" w:hAnsi="Symbol" w:hint="default"/>
      </w:rPr>
    </w:lvl>
    <w:lvl w:ilvl="4" w:tplc="2382B706">
      <w:start w:val="1"/>
      <w:numFmt w:val="bullet"/>
      <w:lvlText w:val="o"/>
      <w:lvlJc w:val="left"/>
      <w:pPr>
        <w:ind w:left="3600" w:hanging="360"/>
      </w:pPr>
      <w:rPr>
        <w:rFonts w:ascii="Courier New" w:hAnsi="Courier New" w:hint="default"/>
      </w:rPr>
    </w:lvl>
    <w:lvl w:ilvl="5" w:tplc="0B0E529C">
      <w:start w:val="1"/>
      <w:numFmt w:val="bullet"/>
      <w:lvlText w:val=""/>
      <w:lvlJc w:val="left"/>
      <w:pPr>
        <w:ind w:left="4320" w:hanging="360"/>
      </w:pPr>
      <w:rPr>
        <w:rFonts w:ascii="Wingdings" w:hAnsi="Wingdings" w:hint="default"/>
      </w:rPr>
    </w:lvl>
    <w:lvl w:ilvl="6" w:tplc="8FDA3EF6">
      <w:start w:val="1"/>
      <w:numFmt w:val="bullet"/>
      <w:lvlText w:val=""/>
      <w:lvlJc w:val="left"/>
      <w:pPr>
        <w:ind w:left="5040" w:hanging="360"/>
      </w:pPr>
      <w:rPr>
        <w:rFonts w:ascii="Symbol" w:hAnsi="Symbol" w:hint="default"/>
      </w:rPr>
    </w:lvl>
    <w:lvl w:ilvl="7" w:tplc="D2468938">
      <w:start w:val="1"/>
      <w:numFmt w:val="bullet"/>
      <w:lvlText w:val="o"/>
      <w:lvlJc w:val="left"/>
      <w:pPr>
        <w:ind w:left="5760" w:hanging="360"/>
      </w:pPr>
      <w:rPr>
        <w:rFonts w:ascii="Courier New" w:hAnsi="Courier New" w:hint="default"/>
      </w:rPr>
    </w:lvl>
    <w:lvl w:ilvl="8" w:tplc="A33847BC">
      <w:start w:val="1"/>
      <w:numFmt w:val="bullet"/>
      <w:lvlText w:val=""/>
      <w:lvlJc w:val="left"/>
      <w:pPr>
        <w:ind w:left="6480" w:hanging="360"/>
      </w:pPr>
      <w:rPr>
        <w:rFonts w:ascii="Wingdings" w:hAnsi="Wingdings" w:hint="default"/>
      </w:rPr>
    </w:lvl>
  </w:abstractNum>
  <w:abstractNum w:abstractNumId="2" w15:restartNumberingAfterBreak="0">
    <w:nsid w:val="55A0F711"/>
    <w:multiLevelType w:val="hybridMultilevel"/>
    <w:tmpl w:val="DB4EFAA0"/>
    <w:lvl w:ilvl="0" w:tplc="7070F132">
      <w:start w:val="1"/>
      <w:numFmt w:val="bullet"/>
      <w:lvlText w:val=""/>
      <w:lvlJc w:val="left"/>
      <w:pPr>
        <w:ind w:left="720" w:hanging="360"/>
      </w:pPr>
      <w:rPr>
        <w:rFonts w:ascii="Symbol" w:hAnsi="Symbol" w:hint="default"/>
      </w:rPr>
    </w:lvl>
    <w:lvl w:ilvl="1" w:tplc="B4968C26">
      <w:start w:val="1"/>
      <w:numFmt w:val="bullet"/>
      <w:lvlText w:val="o"/>
      <w:lvlJc w:val="left"/>
      <w:pPr>
        <w:ind w:left="1440" w:hanging="360"/>
      </w:pPr>
      <w:rPr>
        <w:rFonts w:ascii="Courier New" w:hAnsi="Courier New" w:hint="default"/>
      </w:rPr>
    </w:lvl>
    <w:lvl w:ilvl="2" w:tplc="F4589948">
      <w:start w:val="1"/>
      <w:numFmt w:val="bullet"/>
      <w:lvlText w:val=""/>
      <w:lvlJc w:val="left"/>
      <w:pPr>
        <w:ind w:left="2160" w:hanging="360"/>
      </w:pPr>
      <w:rPr>
        <w:rFonts w:ascii="Wingdings" w:hAnsi="Wingdings" w:hint="default"/>
      </w:rPr>
    </w:lvl>
    <w:lvl w:ilvl="3" w:tplc="E946CBD4">
      <w:start w:val="1"/>
      <w:numFmt w:val="bullet"/>
      <w:lvlText w:val=""/>
      <w:lvlJc w:val="left"/>
      <w:pPr>
        <w:ind w:left="2880" w:hanging="360"/>
      </w:pPr>
      <w:rPr>
        <w:rFonts w:ascii="Symbol" w:hAnsi="Symbol" w:hint="default"/>
      </w:rPr>
    </w:lvl>
    <w:lvl w:ilvl="4" w:tplc="1388A3E8">
      <w:start w:val="1"/>
      <w:numFmt w:val="bullet"/>
      <w:lvlText w:val="o"/>
      <w:lvlJc w:val="left"/>
      <w:pPr>
        <w:ind w:left="3600" w:hanging="360"/>
      </w:pPr>
      <w:rPr>
        <w:rFonts w:ascii="Courier New" w:hAnsi="Courier New" w:hint="default"/>
      </w:rPr>
    </w:lvl>
    <w:lvl w:ilvl="5" w:tplc="7E7CFD9A">
      <w:start w:val="1"/>
      <w:numFmt w:val="bullet"/>
      <w:lvlText w:val=""/>
      <w:lvlJc w:val="left"/>
      <w:pPr>
        <w:ind w:left="4320" w:hanging="360"/>
      </w:pPr>
      <w:rPr>
        <w:rFonts w:ascii="Wingdings" w:hAnsi="Wingdings" w:hint="default"/>
      </w:rPr>
    </w:lvl>
    <w:lvl w:ilvl="6" w:tplc="98B83564">
      <w:start w:val="1"/>
      <w:numFmt w:val="bullet"/>
      <w:lvlText w:val=""/>
      <w:lvlJc w:val="left"/>
      <w:pPr>
        <w:ind w:left="5040" w:hanging="360"/>
      </w:pPr>
      <w:rPr>
        <w:rFonts w:ascii="Symbol" w:hAnsi="Symbol" w:hint="default"/>
      </w:rPr>
    </w:lvl>
    <w:lvl w:ilvl="7" w:tplc="C64CF280">
      <w:start w:val="1"/>
      <w:numFmt w:val="bullet"/>
      <w:lvlText w:val="o"/>
      <w:lvlJc w:val="left"/>
      <w:pPr>
        <w:ind w:left="5760" w:hanging="360"/>
      </w:pPr>
      <w:rPr>
        <w:rFonts w:ascii="Courier New" w:hAnsi="Courier New" w:hint="default"/>
      </w:rPr>
    </w:lvl>
    <w:lvl w:ilvl="8" w:tplc="BE14AC86">
      <w:start w:val="1"/>
      <w:numFmt w:val="bullet"/>
      <w:lvlText w:val=""/>
      <w:lvlJc w:val="left"/>
      <w:pPr>
        <w:ind w:left="6480" w:hanging="360"/>
      </w:pPr>
      <w:rPr>
        <w:rFonts w:ascii="Wingdings" w:hAnsi="Wingdings" w:hint="default"/>
      </w:rPr>
    </w:lvl>
  </w:abstractNum>
  <w:abstractNum w:abstractNumId="3" w15:restartNumberingAfterBreak="0">
    <w:nsid w:val="636648D7"/>
    <w:multiLevelType w:val="hybridMultilevel"/>
    <w:tmpl w:val="4F643FEC"/>
    <w:lvl w:ilvl="0" w:tplc="A1BE615A">
      <w:start w:val="1"/>
      <w:numFmt w:val="bullet"/>
      <w:lvlText w:val=""/>
      <w:lvlJc w:val="left"/>
      <w:pPr>
        <w:ind w:left="720" w:hanging="360"/>
      </w:pPr>
      <w:rPr>
        <w:rFonts w:ascii="Symbol" w:hAnsi="Symbol" w:hint="default"/>
      </w:rPr>
    </w:lvl>
    <w:lvl w:ilvl="1" w:tplc="460A4788">
      <w:start w:val="1"/>
      <w:numFmt w:val="bullet"/>
      <w:lvlText w:val="o"/>
      <w:lvlJc w:val="left"/>
      <w:pPr>
        <w:ind w:left="1440" w:hanging="360"/>
      </w:pPr>
      <w:rPr>
        <w:rFonts w:ascii="Courier New" w:hAnsi="Courier New" w:hint="default"/>
      </w:rPr>
    </w:lvl>
    <w:lvl w:ilvl="2" w:tplc="BC488C24">
      <w:start w:val="1"/>
      <w:numFmt w:val="bullet"/>
      <w:lvlText w:val=""/>
      <w:lvlJc w:val="left"/>
      <w:pPr>
        <w:ind w:left="2160" w:hanging="360"/>
      </w:pPr>
      <w:rPr>
        <w:rFonts w:ascii="Wingdings" w:hAnsi="Wingdings" w:hint="default"/>
      </w:rPr>
    </w:lvl>
    <w:lvl w:ilvl="3" w:tplc="CE845546">
      <w:start w:val="1"/>
      <w:numFmt w:val="bullet"/>
      <w:lvlText w:val=""/>
      <w:lvlJc w:val="left"/>
      <w:pPr>
        <w:ind w:left="2880" w:hanging="360"/>
      </w:pPr>
      <w:rPr>
        <w:rFonts w:ascii="Symbol" w:hAnsi="Symbol" w:hint="default"/>
      </w:rPr>
    </w:lvl>
    <w:lvl w:ilvl="4" w:tplc="DBD2A0DA">
      <w:start w:val="1"/>
      <w:numFmt w:val="bullet"/>
      <w:lvlText w:val="o"/>
      <w:lvlJc w:val="left"/>
      <w:pPr>
        <w:ind w:left="3600" w:hanging="360"/>
      </w:pPr>
      <w:rPr>
        <w:rFonts w:ascii="Courier New" w:hAnsi="Courier New" w:hint="default"/>
      </w:rPr>
    </w:lvl>
    <w:lvl w:ilvl="5" w:tplc="77AC9B9A">
      <w:start w:val="1"/>
      <w:numFmt w:val="bullet"/>
      <w:lvlText w:val=""/>
      <w:lvlJc w:val="left"/>
      <w:pPr>
        <w:ind w:left="4320" w:hanging="360"/>
      </w:pPr>
      <w:rPr>
        <w:rFonts w:ascii="Wingdings" w:hAnsi="Wingdings" w:hint="default"/>
      </w:rPr>
    </w:lvl>
    <w:lvl w:ilvl="6" w:tplc="126647C0">
      <w:start w:val="1"/>
      <w:numFmt w:val="bullet"/>
      <w:lvlText w:val=""/>
      <w:lvlJc w:val="left"/>
      <w:pPr>
        <w:ind w:left="5040" w:hanging="360"/>
      </w:pPr>
      <w:rPr>
        <w:rFonts w:ascii="Symbol" w:hAnsi="Symbol" w:hint="default"/>
      </w:rPr>
    </w:lvl>
    <w:lvl w:ilvl="7" w:tplc="F2880DF4">
      <w:start w:val="1"/>
      <w:numFmt w:val="bullet"/>
      <w:lvlText w:val="o"/>
      <w:lvlJc w:val="left"/>
      <w:pPr>
        <w:ind w:left="5760" w:hanging="360"/>
      </w:pPr>
      <w:rPr>
        <w:rFonts w:ascii="Courier New" w:hAnsi="Courier New" w:hint="default"/>
      </w:rPr>
    </w:lvl>
    <w:lvl w:ilvl="8" w:tplc="9F7858E8">
      <w:start w:val="1"/>
      <w:numFmt w:val="bullet"/>
      <w:lvlText w:val=""/>
      <w:lvlJc w:val="left"/>
      <w:pPr>
        <w:ind w:left="6480" w:hanging="360"/>
      </w:pPr>
      <w:rPr>
        <w:rFonts w:ascii="Wingdings" w:hAnsi="Wingdings" w:hint="default"/>
      </w:rPr>
    </w:lvl>
  </w:abstractNum>
  <w:num w:numId="1" w16cid:durableId="407071498">
    <w:abstractNumId w:val="0"/>
  </w:num>
  <w:num w:numId="2" w16cid:durableId="40836301">
    <w:abstractNumId w:val="1"/>
  </w:num>
  <w:num w:numId="3" w16cid:durableId="684475886">
    <w:abstractNumId w:val="2"/>
  </w:num>
  <w:num w:numId="4" w16cid:durableId="262349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0ED28"/>
    <w:rsid w:val="000532DB"/>
    <w:rsid w:val="000E28BB"/>
    <w:rsid w:val="0027E6A7"/>
    <w:rsid w:val="00453A01"/>
    <w:rsid w:val="00775021"/>
    <w:rsid w:val="00B1D0F7"/>
    <w:rsid w:val="00B65249"/>
    <w:rsid w:val="00C17E73"/>
    <w:rsid w:val="00D82349"/>
    <w:rsid w:val="00DD228C"/>
    <w:rsid w:val="00F020EE"/>
    <w:rsid w:val="015F0EAF"/>
    <w:rsid w:val="01F33555"/>
    <w:rsid w:val="0251C3DF"/>
    <w:rsid w:val="0385E52D"/>
    <w:rsid w:val="038CFC4B"/>
    <w:rsid w:val="046BFDBE"/>
    <w:rsid w:val="0497AC79"/>
    <w:rsid w:val="0554E12A"/>
    <w:rsid w:val="0580B965"/>
    <w:rsid w:val="05C826D7"/>
    <w:rsid w:val="06C4C334"/>
    <w:rsid w:val="070C17FB"/>
    <w:rsid w:val="08FBA89C"/>
    <w:rsid w:val="0A6AD32A"/>
    <w:rsid w:val="0AA585B4"/>
    <w:rsid w:val="0ACE9B2A"/>
    <w:rsid w:val="0AF2829E"/>
    <w:rsid w:val="0C27B471"/>
    <w:rsid w:val="0CF15E95"/>
    <w:rsid w:val="0D526580"/>
    <w:rsid w:val="0DD016B5"/>
    <w:rsid w:val="0DEA9B39"/>
    <w:rsid w:val="0E413674"/>
    <w:rsid w:val="0E96C0E8"/>
    <w:rsid w:val="0EB99144"/>
    <w:rsid w:val="0ED0ED28"/>
    <w:rsid w:val="0F4479A0"/>
    <w:rsid w:val="0FBC7959"/>
    <w:rsid w:val="0FBD2457"/>
    <w:rsid w:val="0FC33442"/>
    <w:rsid w:val="109C5BB4"/>
    <w:rsid w:val="10CE4D6A"/>
    <w:rsid w:val="1108BE3D"/>
    <w:rsid w:val="114A0281"/>
    <w:rsid w:val="125E7EBF"/>
    <w:rsid w:val="12C12882"/>
    <w:rsid w:val="12E835DE"/>
    <w:rsid w:val="12F87B53"/>
    <w:rsid w:val="134F948C"/>
    <w:rsid w:val="1381E88F"/>
    <w:rsid w:val="141725E8"/>
    <w:rsid w:val="142D0464"/>
    <w:rsid w:val="14367DB9"/>
    <w:rsid w:val="144FAE45"/>
    <w:rsid w:val="1537031C"/>
    <w:rsid w:val="15581241"/>
    <w:rsid w:val="15D25158"/>
    <w:rsid w:val="15D4E036"/>
    <w:rsid w:val="16172515"/>
    <w:rsid w:val="1652F950"/>
    <w:rsid w:val="16F4B417"/>
    <w:rsid w:val="172B64CC"/>
    <w:rsid w:val="179A19B3"/>
    <w:rsid w:val="17D527A3"/>
    <w:rsid w:val="18158DB8"/>
    <w:rsid w:val="18909717"/>
    <w:rsid w:val="18A8AC31"/>
    <w:rsid w:val="18F6C050"/>
    <w:rsid w:val="191950FE"/>
    <w:rsid w:val="195C7B6B"/>
    <w:rsid w:val="195CFDFB"/>
    <w:rsid w:val="19685876"/>
    <w:rsid w:val="1A0298FF"/>
    <w:rsid w:val="1A16520D"/>
    <w:rsid w:val="1A41FEF6"/>
    <w:rsid w:val="1C1B6D77"/>
    <w:rsid w:val="1C28E07E"/>
    <w:rsid w:val="1C2DCA7D"/>
    <w:rsid w:val="1D4AF0A0"/>
    <w:rsid w:val="1D748285"/>
    <w:rsid w:val="1DE11BFD"/>
    <w:rsid w:val="1E022178"/>
    <w:rsid w:val="1E0B53C8"/>
    <w:rsid w:val="1EF86A99"/>
    <w:rsid w:val="1F3601C7"/>
    <w:rsid w:val="1FFF4EDD"/>
    <w:rsid w:val="2007FE0B"/>
    <w:rsid w:val="2083E744"/>
    <w:rsid w:val="20C5B99D"/>
    <w:rsid w:val="20F89550"/>
    <w:rsid w:val="210A52EB"/>
    <w:rsid w:val="22201309"/>
    <w:rsid w:val="228F3F04"/>
    <w:rsid w:val="22BD7B02"/>
    <w:rsid w:val="22C5AD8E"/>
    <w:rsid w:val="23E602C5"/>
    <w:rsid w:val="243DB88D"/>
    <w:rsid w:val="245FE44C"/>
    <w:rsid w:val="2492B317"/>
    <w:rsid w:val="254668E0"/>
    <w:rsid w:val="25D7D143"/>
    <w:rsid w:val="26073B34"/>
    <w:rsid w:val="265501FB"/>
    <w:rsid w:val="26D8CF61"/>
    <w:rsid w:val="27C8C91F"/>
    <w:rsid w:val="28EAA50A"/>
    <w:rsid w:val="2955EF5F"/>
    <w:rsid w:val="29AD53BF"/>
    <w:rsid w:val="2A2B0CF6"/>
    <w:rsid w:val="2ABCEA60"/>
    <w:rsid w:val="2B491E3A"/>
    <w:rsid w:val="2B55C601"/>
    <w:rsid w:val="2B95A374"/>
    <w:rsid w:val="2B96738A"/>
    <w:rsid w:val="2C6654E3"/>
    <w:rsid w:val="2D074A06"/>
    <w:rsid w:val="2D43AD5F"/>
    <w:rsid w:val="2D87A5D2"/>
    <w:rsid w:val="2DA2DF24"/>
    <w:rsid w:val="2DD34BE2"/>
    <w:rsid w:val="2E068843"/>
    <w:rsid w:val="2E0BDA0C"/>
    <w:rsid w:val="2EA7361D"/>
    <w:rsid w:val="2F165AAE"/>
    <w:rsid w:val="2F564A77"/>
    <w:rsid w:val="2F84AC3E"/>
    <w:rsid w:val="2FC00352"/>
    <w:rsid w:val="300EBCAA"/>
    <w:rsid w:val="30C586F4"/>
    <w:rsid w:val="3131D07F"/>
    <w:rsid w:val="317878BF"/>
    <w:rsid w:val="31E9F722"/>
    <w:rsid w:val="3247CF2F"/>
    <w:rsid w:val="32677F3C"/>
    <w:rsid w:val="326EADEE"/>
    <w:rsid w:val="330B1F35"/>
    <w:rsid w:val="339D4D72"/>
    <w:rsid w:val="33E9659A"/>
    <w:rsid w:val="34166259"/>
    <w:rsid w:val="341F485B"/>
    <w:rsid w:val="341F509C"/>
    <w:rsid w:val="3492DB5D"/>
    <w:rsid w:val="34B19348"/>
    <w:rsid w:val="356C9FDB"/>
    <w:rsid w:val="35DDA4A0"/>
    <w:rsid w:val="37A6646E"/>
    <w:rsid w:val="384DBDDF"/>
    <w:rsid w:val="389A4DA0"/>
    <w:rsid w:val="390E4472"/>
    <w:rsid w:val="3968DDFF"/>
    <w:rsid w:val="39BA4ACA"/>
    <w:rsid w:val="39C09A43"/>
    <w:rsid w:val="3A43A3A1"/>
    <w:rsid w:val="3A706CE3"/>
    <w:rsid w:val="3ABE7CCB"/>
    <w:rsid w:val="3C7509BC"/>
    <w:rsid w:val="3C9817F7"/>
    <w:rsid w:val="3D06260D"/>
    <w:rsid w:val="3D33A12E"/>
    <w:rsid w:val="3D3DA81C"/>
    <w:rsid w:val="3DA5B60A"/>
    <w:rsid w:val="3E0B7D04"/>
    <w:rsid w:val="3E12CC7E"/>
    <w:rsid w:val="3EE3E4DD"/>
    <w:rsid w:val="3F47E229"/>
    <w:rsid w:val="40CAD839"/>
    <w:rsid w:val="41103C1A"/>
    <w:rsid w:val="4177C3C1"/>
    <w:rsid w:val="419D9B5E"/>
    <w:rsid w:val="42391E0B"/>
    <w:rsid w:val="425A56F4"/>
    <w:rsid w:val="429E16D9"/>
    <w:rsid w:val="42A70A7F"/>
    <w:rsid w:val="43F55ECE"/>
    <w:rsid w:val="44D077DF"/>
    <w:rsid w:val="4531577D"/>
    <w:rsid w:val="454B1AEC"/>
    <w:rsid w:val="45605473"/>
    <w:rsid w:val="461422B1"/>
    <w:rsid w:val="468603C7"/>
    <w:rsid w:val="469B83D4"/>
    <w:rsid w:val="4877B30D"/>
    <w:rsid w:val="48E6A85C"/>
    <w:rsid w:val="4937CB75"/>
    <w:rsid w:val="4A8FFE58"/>
    <w:rsid w:val="4A9811DA"/>
    <w:rsid w:val="4AB965DF"/>
    <w:rsid w:val="4B0E5697"/>
    <w:rsid w:val="4BCA295A"/>
    <w:rsid w:val="4CCA13CC"/>
    <w:rsid w:val="4DA65F7F"/>
    <w:rsid w:val="4DF38882"/>
    <w:rsid w:val="4F691D3D"/>
    <w:rsid w:val="4FAC433B"/>
    <w:rsid w:val="501CE7AB"/>
    <w:rsid w:val="50568E07"/>
    <w:rsid w:val="50589531"/>
    <w:rsid w:val="50AA9FBE"/>
    <w:rsid w:val="51661770"/>
    <w:rsid w:val="51B0AF16"/>
    <w:rsid w:val="51BFD0E3"/>
    <w:rsid w:val="51E1832B"/>
    <w:rsid w:val="51FD0137"/>
    <w:rsid w:val="52369904"/>
    <w:rsid w:val="52A90771"/>
    <w:rsid w:val="53A1A76E"/>
    <w:rsid w:val="54B1EF38"/>
    <w:rsid w:val="55CA9E24"/>
    <w:rsid w:val="563023A2"/>
    <w:rsid w:val="566E9151"/>
    <w:rsid w:val="56D3C907"/>
    <w:rsid w:val="56E6581B"/>
    <w:rsid w:val="57B11E60"/>
    <w:rsid w:val="57C04900"/>
    <w:rsid w:val="58B1F0AC"/>
    <w:rsid w:val="5971F69D"/>
    <w:rsid w:val="5991C940"/>
    <w:rsid w:val="59AFD43A"/>
    <w:rsid w:val="59C6607E"/>
    <w:rsid w:val="59D775CB"/>
    <w:rsid w:val="59EB3046"/>
    <w:rsid w:val="5A7FEF3D"/>
    <w:rsid w:val="5AB0D48C"/>
    <w:rsid w:val="5B0C2CCC"/>
    <w:rsid w:val="5B0F621E"/>
    <w:rsid w:val="5B360918"/>
    <w:rsid w:val="5B36187C"/>
    <w:rsid w:val="5BEC3B74"/>
    <w:rsid w:val="5C895BC5"/>
    <w:rsid w:val="5D489F5B"/>
    <w:rsid w:val="5D636F0E"/>
    <w:rsid w:val="5D7BE0CC"/>
    <w:rsid w:val="5D8BEFBD"/>
    <w:rsid w:val="5DF97544"/>
    <w:rsid w:val="5EB48D2E"/>
    <w:rsid w:val="5FC968B5"/>
    <w:rsid w:val="600721C5"/>
    <w:rsid w:val="60A7DC46"/>
    <w:rsid w:val="612826D1"/>
    <w:rsid w:val="61D4A425"/>
    <w:rsid w:val="6285AC6C"/>
    <w:rsid w:val="62F00E7A"/>
    <w:rsid w:val="62F145F3"/>
    <w:rsid w:val="6327BA7C"/>
    <w:rsid w:val="638729A8"/>
    <w:rsid w:val="64733684"/>
    <w:rsid w:val="64F745B6"/>
    <w:rsid w:val="663AC9C1"/>
    <w:rsid w:val="6734B89C"/>
    <w:rsid w:val="6865719D"/>
    <w:rsid w:val="688E3E60"/>
    <w:rsid w:val="6928A9FE"/>
    <w:rsid w:val="69BAA6D9"/>
    <w:rsid w:val="69C71C5F"/>
    <w:rsid w:val="69D54F73"/>
    <w:rsid w:val="6AD19436"/>
    <w:rsid w:val="6B05B6FE"/>
    <w:rsid w:val="6BE26540"/>
    <w:rsid w:val="6DA2A941"/>
    <w:rsid w:val="6DBC1BB2"/>
    <w:rsid w:val="6F0C952B"/>
    <w:rsid w:val="6F66E828"/>
    <w:rsid w:val="6FA86D88"/>
    <w:rsid w:val="709050F1"/>
    <w:rsid w:val="718EA3AC"/>
    <w:rsid w:val="7194809F"/>
    <w:rsid w:val="72643F4C"/>
    <w:rsid w:val="72F520CA"/>
    <w:rsid w:val="734991FF"/>
    <w:rsid w:val="736A4D4F"/>
    <w:rsid w:val="754CA14E"/>
    <w:rsid w:val="754DCB2B"/>
    <w:rsid w:val="757F99F6"/>
    <w:rsid w:val="75CBC698"/>
    <w:rsid w:val="75D5A93D"/>
    <w:rsid w:val="77350435"/>
    <w:rsid w:val="77B18A7C"/>
    <w:rsid w:val="77BC8AA1"/>
    <w:rsid w:val="78355093"/>
    <w:rsid w:val="78467D62"/>
    <w:rsid w:val="78D9BBBC"/>
    <w:rsid w:val="790EDD86"/>
    <w:rsid w:val="7935DC67"/>
    <w:rsid w:val="794D03EE"/>
    <w:rsid w:val="799B2FE4"/>
    <w:rsid w:val="79B2DD0D"/>
    <w:rsid w:val="79E4CBD6"/>
    <w:rsid w:val="7A14CE92"/>
    <w:rsid w:val="7A6DF0AE"/>
    <w:rsid w:val="7B524DE6"/>
    <w:rsid w:val="7BFA35A2"/>
    <w:rsid w:val="7C355095"/>
    <w:rsid w:val="7CBF8133"/>
    <w:rsid w:val="7D302473"/>
    <w:rsid w:val="7D74319E"/>
    <w:rsid w:val="7EC6E3EC"/>
    <w:rsid w:val="7EFD1A27"/>
    <w:rsid w:val="7F156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ED28"/>
  <w15:chartTrackingRefBased/>
  <w15:docId w15:val="{EE94E0D4-95E8-4A81-A28E-A52B1EB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CBF8133"/>
    <w:rPr>
      <w:color w:val="467886"/>
      <w:u w:val="single"/>
    </w:rPr>
  </w:style>
  <w:style w:type="paragraph" w:styleId="ListParagraph">
    <w:name w:val="List Paragraph"/>
    <w:basedOn w:val="Normal"/>
    <w:uiPriority w:val="34"/>
    <w:qFormat/>
    <w:rsid w:val="7CBF8133"/>
    <w:pPr>
      <w:ind w:left="720"/>
      <w:contextualSpacing/>
    </w:pPr>
  </w:style>
  <w:style w:type="paragraph" w:styleId="FootnoteText">
    <w:name w:val="footnote text"/>
    <w:basedOn w:val="Normal"/>
    <w:uiPriority w:val="99"/>
    <w:semiHidden/>
    <w:unhideWhenUsed/>
    <w:rsid w:val="5D8BEFBD"/>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thany.richards@igcc.org.a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igcc.org.au/investable-sector-climate-plans-are-crucial-to-clean-energy-competitive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5EC473ACC554887C0F5E1D2B6FCD6" ma:contentTypeVersion="18" ma:contentTypeDescription="Create a new document." ma:contentTypeScope="" ma:versionID="e247f903f980c91cf01c17117e869d61">
  <xsd:schema xmlns:xsd="http://www.w3.org/2001/XMLSchema" xmlns:xs="http://www.w3.org/2001/XMLSchema" xmlns:p="http://schemas.microsoft.com/office/2006/metadata/properties" xmlns:ns2="d5241551-1de2-491e-a072-f6b9a2daf648" xmlns:ns3="25995872-9dbd-4603-9d4e-c93b554a9f12" targetNamespace="http://schemas.microsoft.com/office/2006/metadata/properties" ma:root="true" ma:fieldsID="40d1273ba8bed2e83d4ad525f4fe8abd" ns2:_="" ns3:_="">
    <xsd:import namespace="d5241551-1de2-491e-a072-f6b9a2daf648"/>
    <xsd:import namespace="25995872-9dbd-4603-9d4e-c93b554a9f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1551-1de2-491e-a072-f6b9a2daf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3aa82-28ad-42cc-ab23-4072be64e3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95872-9dbd-4603-9d4e-c93b554a9f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beb252-2a15-46d9-b083-e1d1cba19781}" ma:internalName="TaxCatchAll" ma:showField="CatchAllData" ma:web="25995872-9dbd-4603-9d4e-c93b554a9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995872-9dbd-4603-9d4e-c93b554a9f12" xsi:nil="true"/>
    <lcf76f155ced4ddcb4097134ff3c332f xmlns="d5241551-1de2-491e-a072-f6b9a2daf6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963BA2-0F41-418D-8FB9-A6725B5DD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41551-1de2-491e-a072-f6b9a2daf648"/>
    <ds:schemaRef ds:uri="25995872-9dbd-4603-9d4e-c93b554a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5EC1C-E346-42F1-961E-93E0A96FB76D}">
  <ds:schemaRefs>
    <ds:schemaRef ds:uri="http://schemas.microsoft.com/sharepoint/v3/contenttype/forms"/>
  </ds:schemaRefs>
</ds:datastoreItem>
</file>

<file path=customXml/itemProps3.xml><?xml version="1.0" encoding="utf-8"?>
<ds:datastoreItem xmlns:ds="http://schemas.openxmlformats.org/officeDocument/2006/customXml" ds:itemID="{16E3B70C-FEDE-473A-809F-0D96AD9593C3}">
  <ds:schemaRefs>
    <ds:schemaRef ds:uri="http://schemas.microsoft.com/office/2006/metadata/properties"/>
    <ds:schemaRef ds:uri="http://schemas.microsoft.com/office/infopath/2007/PartnerControls"/>
    <ds:schemaRef ds:uri="25995872-9dbd-4603-9d4e-c93b554a9f12"/>
    <ds:schemaRef ds:uri="d5241551-1de2-491e-a072-f6b9a2daf64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Richards</dc:creator>
  <cp:keywords/>
  <dc:description/>
  <cp:lastModifiedBy>Bethany Richards</cp:lastModifiedBy>
  <cp:revision>3</cp:revision>
  <dcterms:created xsi:type="dcterms:W3CDTF">2025-05-28T06:18:00Z</dcterms:created>
  <dcterms:modified xsi:type="dcterms:W3CDTF">2025-05-28T06:30:00Z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0x0101009D75EC473ACC554887C0F5E1D2B6FCD6</vt:lpwstr>
  </property>
  <property fmtid="{D5CDD505-2E9C-101B-9397-08002B2CF9AE}" pid="3" name="MediaServiceImageTags">
    <vt:lpwstr/>
  </property>
</Properties>
</file>